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2CBB" w14:textId="71D9C32B" w:rsidR="00CF139F" w:rsidRPr="00F12327" w:rsidRDefault="00D61861" w:rsidP="009B02E1">
      <w:pPr>
        <w:pStyle w:val="BodyText"/>
        <w:spacing w:before="240"/>
        <w:jc w:val="right"/>
      </w:pPr>
      <w:r>
        <w:rPr>
          <w:noProof/>
        </w:rPr>
        <w:drawing>
          <wp:anchor distT="0" distB="0" distL="114300" distR="114300" simplePos="0" relativeHeight="251658240" behindDoc="1" locked="0" layoutInCell="1" allowOverlap="1" wp14:anchorId="64B9CF89" wp14:editId="3E498D86">
            <wp:simplePos x="0" y="0"/>
            <wp:positionH relativeFrom="margin">
              <wp:posOffset>5262245</wp:posOffset>
            </wp:positionH>
            <wp:positionV relativeFrom="paragraph">
              <wp:posOffset>0</wp:posOffset>
            </wp:positionV>
            <wp:extent cx="460375" cy="451485"/>
            <wp:effectExtent l="0" t="0" r="0" b="5715"/>
            <wp:wrapTight wrapText="bothSides">
              <wp:wrapPolygon edited="0">
                <wp:start x="0" y="0"/>
                <wp:lineTo x="0" y="20962"/>
                <wp:lineTo x="20557" y="20962"/>
                <wp:lineTo x="2055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a:stretch>
                      <a:fillRect/>
                    </a:stretch>
                  </pic:blipFill>
                  <pic:spPr>
                    <a:xfrm>
                      <a:off x="0" y="0"/>
                      <a:ext cx="460375" cy="451485"/>
                    </a:xfrm>
                    <a:prstGeom prst="rect">
                      <a:avLst/>
                    </a:prstGeom>
                  </pic:spPr>
                </pic:pic>
              </a:graphicData>
            </a:graphic>
          </wp:anchor>
        </w:drawing>
      </w:r>
      <w:r w:rsidR="009B02E1">
        <w:softHyphen/>
      </w:r>
      <w:r w:rsidR="009B02E1">
        <w:softHyphen/>
      </w:r>
      <w:r w:rsidR="009B02E1">
        <w:softHyphen/>
      </w:r>
      <w:r w:rsidR="009B02E1">
        <w:softHyphen/>
      </w:r>
      <w:r w:rsidR="009B02E1">
        <w:softHyphen/>
      </w:r>
    </w:p>
    <w:p w14:paraId="045DFBB0" w14:textId="13CBA73B" w:rsidR="00AE6D0E" w:rsidRPr="00D61861" w:rsidRDefault="00B40541" w:rsidP="00682365">
      <w:pPr>
        <w:pStyle w:val="Title"/>
        <w:rPr>
          <w:sz w:val="40"/>
          <w:szCs w:val="40"/>
        </w:rPr>
      </w:pPr>
      <w:r w:rsidRPr="00D61861">
        <w:rPr>
          <w:sz w:val="40"/>
          <w:szCs w:val="40"/>
        </w:rPr>
        <w:t>ICE Futures Europe Application for Exemption from Referenced Contract Position Limits</w:t>
      </w:r>
    </w:p>
    <w:p w14:paraId="3076A93E" w14:textId="79E500D7" w:rsidR="000620C5" w:rsidRDefault="000620C5" w:rsidP="000620C5">
      <w:pPr>
        <w:jc w:val="both"/>
      </w:pPr>
      <w:r>
        <w:t>Exemptions are available from the position limits that apply to certain Exchange futures contracts, and are permissible on any of the following bases</w:t>
      </w:r>
      <w:r>
        <w:rPr>
          <w:rStyle w:val="FootnoteReference"/>
        </w:rPr>
        <w:footnoteReference w:id="1"/>
      </w:r>
      <w:r>
        <w:t xml:space="preserve">: </w:t>
      </w:r>
    </w:p>
    <w:p w14:paraId="615E2460" w14:textId="77777777" w:rsidR="000620C5" w:rsidRDefault="000620C5" w:rsidP="000620C5">
      <w:pPr>
        <w:jc w:val="both"/>
      </w:pPr>
    </w:p>
    <w:p w14:paraId="53477B0D" w14:textId="77777777" w:rsidR="000620C5" w:rsidRDefault="000620C5" w:rsidP="000620C5">
      <w:pPr>
        <w:jc w:val="both"/>
      </w:pPr>
      <w:r>
        <w:rPr>
          <w:b/>
          <w:bCs/>
          <w:i/>
          <w:iCs/>
        </w:rPr>
        <w:t>Enumerated Bona fide</w:t>
      </w:r>
      <w:r>
        <w:t xml:space="preserve"> hedging transactions or positions i.e. </w:t>
      </w:r>
    </w:p>
    <w:p w14:paraId="46F192B5" w14:textId="77777777" w:rsidR="000620C5" w:rsidRDefault="000620C5" w:rsidP="000620C5">
      <w:pPr>
        <w:pStyle w:val="ListParagraph"/>
        <w:numPr>
          <w:ilvl w:val="0"/>
          <w:numId w:val="47"/>
        </w:numPr>
        <w:spacing w:line="300" w:lineRule="auto"/>
        <w:jc w:val="both"/>
      </w:pPr>
      <w:r>
        <w:t>Hedges of inventory and cash commodity fixed-price purchase contracts</w:t>
      </w:r>
    </w:p>
    <w:p w14:paraId="6E928E7D" w14:textId="77777777" w:rsidR="000620C5" w:rsidRDefault="000620C5" w:rsidP="000620C5">
      <w:pPr>
        <w:pStyle w:val="ListParagraph"/>
        <w:numPr>
          <w:ilvl w:val="0"/>
          <w:numId w:val="47"/>
        </w:numPr>
        <w:spacing w:line="300" w:lineRule="auto"/>
        <w:jc w:val="both"/>
      </w:pPr>
      <w:r>
        <w:t>Hedges of cash commodity fixed-price sales contracts</w:t>
      </w:r>
    </w:p>
    <w:p w14:paraId="3A9818AF" w14:textId="77777777" w:rsidR="000620C5" w:rsidRDefault="000620C5" w:rsidP="000620C5">
      <w:pPr>
        <w:pStyle w:val="ListParagraph"/>
        <w:numPr>
          <w:ilvl w:val="0"/>
          <w:numId w:val="47"/>
        </w:numPr>
        <w:spacing w:line="300" w:lineRule="auto"/>
        <w:jc w:val="both"/>
      </w:pPr>
      <w:r>
        <w:t>Hedges of offsetting unfixed-price cash commodity sales and purchases</w:t>
      </w:r>
    </w:p>
    <w:p w14:paraId="0442C266" w14:textId="77777777" w:rsidR="000620C5" w:rsidRDefault="000620C5" w:rsidP="000620C5">
      <w:pPr>
        <w:pStyle w:val="ListParagraph"/>
        <w:numPr>
          <w:ilvl w:val="0"/>
          <w:numId w:val="47"/>
        </w:numPr>
        <w:spacing w:line="300" w:lineRule="auto"/>
        <w:jc w:val="both"/>
      </w:pPr>
      <w:r>
        <w:t>Hedges of unsold anticipated production</w:t>
      </w:r>
    </w:p>
    <w:p w14:paraId="7DB0E191" w14:textId="77777777" w:rsidR="000620C5" w:rsidRDefault="000620C5" w:rsidP="000620C5">
      <w:pPr>
        <w:pStyle w:val="ListParagraph"/>
        <w:numPr>
          <w:ilvl w:val="0"/>
          <w:numId w:val="47"/>
        </w:numPr>
        <w:spacing w:line="300" w:lineRule="auto"/>
        <w:jc w:val="both"/>
      </w:pPr>
      <w:r>
        <w:t>Hedges of unfilled anticipated requirements</w:t>
      </w:r>
    </w:p>
    <w:p w14:paraId="7BC5C6DA" w14:textId="77777777" w:rsidR="000620C5" w:rsidRDefault="000620C5" w:rsidP="000620C5">
      <w:pPr>
        <w:pStyle w:val="ListParagraph"/>
        <w:numPr>
          <w:ilvl w:val="0"/>
          <w:numId w:val="47"/>
        </w:numPr>
        <w:spacing w:line="300" w:lineRule="auto"/>
        <w:jc w:val="both"/>
      </w:pPr>
      <w:r>
        <w:t>Hedges of anticipated merchandising</w:t>
      </w:r>
    </w:p>
    <w:p w14:paraId="39281C31" w14:textId="77777777" w:rsidR="000620C5" w:rsidRDefault="000620C5" w:rsidP="000620C5">
      <w:pPr>
        <w:pStyle w:val="ListParagraph"/>
        <w:numPr>
          <w:ilvl w:val="0"/>
          <w:numId w:val="47"/>
        </w:numPr>
        <w:spacing w:line="300" w:lineRule="auto"/>
        <w:jc w:val="both"/>
      </w:pPr>
      <w:r>
        <w:t>Hedges by agents</w:t>
      </w:r>
    </w:p>
    <w:p w14:paraId="37B78F18" w14:textId="77777777" w:rsidR="000620C5" w:rsidRDefault="000620C5" w:rsidP="000620C5">
      <w:pPr>
        <w:pStyle w:val="ListParagraph"/>
        <w:numPr>
          <w:ilvl w:val="0"/>
          <w:numId w:val="47"/>
        </w:numPr>
        <w:spacing w:line="300" w:lineRule="auto"/>
        <w:jc w:val="both"/>
      </w:pPr>
      <w:r>
        <w:t>Hedges of anticipated mineral royalties</w:t>
      </w:r>
    </w:p>
    <w:p w14:paraId="56A8D118" w14:textId="77777777" w:rsidR="000620C5" w:rsidRDefault="000620C5" w:rsidP="000620C5">
      <w:pPr>
        <w:pStyle w:val="ListParagraph"/>
        <w:numPr>
          <w:ilvl w:val="0"/>
          <w:numId w:val="47"/>
        </w:numPr>
        <w:spacing w:line="300" w:lineRule="auto"/>
        <w:jc w:val="both"/>
      </w:pPr>
      <w:r>
        <w:t>Hedges of anticipated services</w:t>
      </w:r>
    </w:p>
    <w:p w14:paraId="1B8B33DF" w14:textId="77777777" w:rsidR="000620C5" w:rsidRDefault="000620C5" w:rsidP="000620C5">
      <w:pPr>
        <w:pStyle w:val="ListParagraph"/>
        <w:numPr>
          <w:ilvl w:val="0"/>
          <w:numId w:val="47"/>
        </w:numPr>
        <w:spacing w:line="300" w:lineRule="auto"/>
        <w:jc w:val="both"/>
      </w:pPr>
      <w:r>
        <w:t>Offsets of commodity trade options</w:t>
      </w:r>
    </w:p>
    <w:p w14:paraId="4DABA519" w14:textId="22C931E0" w:rsidR="000620C5" w:rsidRDefault="000620C5" w:rsidP="000620C5">
      <w:pPr>
        <w:pStyle w:val="ListParagraph"/>
        <w:numPr>
          <w:ilvl w:val="0"/>
          <w:numId w:val="47"/>
        </w:numPr>
        <w:spacing w:line="300" w:lineRule="auto"/>
        <w:jc w:val="both"/>
      </w:pPr>
      <w:r>
        <w:t>Cross-commodity hedges</w:t>
      </w:r>
    </w:p>
    <w:p w14:paraId="4CE99130" w14:textId="77777777" w:rsidR="000620C5" w:rsidRDefault="000620C5" w:rsidP="000620C5">
      <w:pPr>
        <w:jc w:val="both"/>
        <w:rPr>
          <w:i/>
          <w:iCs/>
        </w:rPr>
      </w:pPr>
    </w:p>
    <w:p w14:paraId="3773C7DD" w14:textId="080A58BC" w:rsidR="000620C5" w:rsidRDefault="000620C5" w:rsidP="000620C5">
      <w:pPr>
        <w:jc w:val="both"/>
        <w:rPr>
          <w:b/>
          <w:bCs/>
        </w:rPr>
      </w:pPr>
      <w:r>
        <w:rPr>
          <w:b/>
          <w:bCs/>
        </w:rPr>
        <w:t>Spread transactions</w:t>
      </w:r>
    </w:p>
    <w:p w14:paraId="0FFAD860" w14:textId="77777777" w:rsidR="000620C5" w:rsidRDefault="000620C5" w:rsidP="000620C5">
      <w:pPr>
        <w:jc w:val="both"/>
        <w:rPr>
          <w:b/>
          <w:bCs/>
        </w:rPr>
      </w:pPr>
    </w:p>
    <w:p w14:paraId="6FC73290" w14:textId="65FE33A2" w:rsidR="000620C5" w:rsidRDefault="000620C5" w:rsidP="000620C5">
      <w:pPr>
        <w:ind w:left="720"/>
        <w:jc w:val="both"/>
      </w:pPr>
      <w:r>
        <w:t>…intra-market spread, inter-market spread, intra-commodity spread, or inter-commodity spread, including a calendar spread, quality differential spread, processing spread, product or by-product differential spread, or futures-option spread</w:t>
      </w:r>
    </w:p>
    <w:p w14:paraId="640FC4C3" w14:textId="77777777" w:rsidR="000620C5" w:rsidRDefault="000620C5" w:rsidP="000620C5">
      <w:pPr>
        <w:ind w:left="720"/>
        <w:jc w:val="both"/>
      </w:pPr>
    </w:p>
    <w:p w14:paraId="47EBB0E1" w14:textId="77777777" w:rsidR="000620C5" w:rsidRDefault="000620C5" w:rsidP="000620C5">
      <w:pPr>
        <w:jc w:val="both"/>
        <w:rPr>
          <w:b/>
          <w:bCs/>
        </w:rPr>
      </w:pPr>
      <w:r>
        <w:rPr>
          <w:b/>
          <w:bCs/>
        </w:rPr>
        <w:t xml:space="preserve">Other Cases inclusive of but not limited to Non-enumerated </w:t>
      </w:r>
      <w:r>
        <w:rPr>
          <w:b/>
          <w:bCs/>
          <w:i/>
          <w:iCs/>
        </w:rPr>
        <w:t>Bona fide</w:t>
      </w:r>
      <w:r>
        <w:rPr>
          <w:b/>
          <w:bCs/>
        </w:rPr>
        <w:t xml:space="preserve"> hedging or financial distress scenarios with CFTC approval </w:t>
      </w:r>
    </w:p>
    <w:p w14:paraId="29B4616D" w14:textId="77777777" w:rsidR="000620C5" w:rsidRDefault="000620C5" w:rsidP="000620C5">
      <w:pPr>
        <w:ind w:left="720"/>
        <w:jc w:val="both"/>
      </w:pPr>
    </w:p>
    <w:p w14:paraId="37ED773D" w14:textId="4BFC50CB" w:rsidR="000620C5" w:rsidRDefault="000620C5" w:rsidP="000620C5">
      <w:pPr>
        <w:ind w:left="720"/>
        <w:jc w:val="both"/>
      </w:pPr>
      <w:r>
        <w:t>Financial distress circumstances include, but are not limited to, situations involving the potential default or bankruptcy of a customer of the requesting person or persons, an affiliate of the requesting person or persons, or a potential acquisition target of the requesting person or persons</w:t>
      </w:r>
    </w:p>
    <w:p w14:paraId="2C042E49" w14:textId="77777777" w:rsidR="000620C5" w:rsidRDefault="000620C5" w:rsidP="000620C5">
      <w:pPr>
        <w:spacing w:before="100" w:beforeAutospacing="1" w:after="100" w:afterAutospacing="1"/>
        <w:jc w:val="both"/>
      </w:pPr>
      <w:r>
        <w:lastRenderedPageBreak/>
        <w:t xml:space="preserve">Applicants for an exemption from any limit should do so by completing the form attached as pages 4 to 8 of this document. A separate form should be completed for each product; where an exemption is sought on more than one product, these can be submitted separately or simultaneously as convenient. </w:t>
      </w:r>
    </w:p>
    <w:p w14:paraId="3770792B" w14:textId="77777777" w:rsidR="000620C5" w:rsidRDefault="000620C5" w:rsidP="000620C5">
      <w:pPr>
        <w:spacing w:before="100" w:beforeAutospacing="1" w:after="100" w:afterAutospacing="1"/>
        <w:jc w:val="both"/>
      </w:pPr>
      <w:r>
        <w:t xml:space="preserve">Exemption requests must include information that demonstrates that the proposed positions are </w:t>
      </w:r>
      <w:r>
        <w:rPr>
          <w:i/>
          <w:iCs/>
        </w:rPr>
        <w:t>bona fide</w:t>
      </w:r>
      <w:r>
        <w:t xml:space="preserve"> hedging positions or spread positions, by providing a description of the business undertaken against each exemption basis and instance. This should indicate the nature of the underlying business (</w:t>
      </w:r>
      <w:proofErr w:type="gramStart"/>
      <w:r>
        <w:t>e.g.</w:t>
      </w:r>
      <w:proofErr w:type="gramEnd"/>
      <w:r>
        <w:t xml:space="preserve"> refinery margin hedging), the risk being hedged, the need for the exemption, the futures contracts typically involved, the applicant’s activity in the cash and swap markets for the relevant commodity, geography where applicable, etc. The Exchange will consider hedge exemptions sought due to sudden unforeseen circumstances; in this situation a person must apply for a </w:t>
      </w:r>
      <w:r>
        <w:rPr>
          <w:i/>
          <w:iCs/>
        </w:rPr>
        <w:t>bona fide</w:t>
      </w:r>
      <w:r>
        <w:t xml:space="preserve"> hedging exemption within five business days after the person established the position that exceeded the applicable Position Limit in good faith. </w:t>
      </w:r>
    </w:p>
    <w:p w14:paraId="70E52782" w14:textId="77777777" w:rsidR="000620C5" w:rsidRDefault="000620C5" w:rsidP="00D61861">
      <w:pPr>
        <w:spacing w:before="100" w:beforeAutospacing="1"/>
        <w:jc w:val="both"/>
      </w:pPr>
      <w:r>
        <w:t>The application should indicate either: </w:t>
      </w:r>
    </w:p>
    <w:p w14:paraId="22298B9B" w14:textId="77777777" w:rsidR="000620C5" w:rsidRDefault="000620C5" w:rsidP="00D61861">
      <w:pPr>
        <w:ind w:left="720" w:firstLine="720"/>
        <w:jc w:val="both"/>
      </w:pPr>
      <w:r>
        <w:t>1. the amount of exemption required in each case, or</w:t>
      </w:r>
    </w:p>
    <w:p w14:paraId="2EDD8A02" w14:textId="77777777" w:rsidR="000620C5" w:rsidRDefault="000620C5" w:rsidP="000620C5">
      <w:pPr>
        <w:spacing w:before="100" w:beforeAutospacing="1" w:after="100" w:afterAutospacing="1"/>
        <w:ind w:left="1440"/>
        <w:jc w:val="both"/>
      </w:pPr>
      <w:r>
        <w:t xml:space="preserve">2. where the management, structure or internal exposure netting of a book means this figure cannot be reliably provided, then the overall level sought. This should be expressed as a total position requirement </w:t>
      </w:r>
      <w:proofErr w:type="gramStart"/>
      <w:r>
        <w:t>i.e.</w:t>
      </w:r>
      <w:proofErr w:type="gramEnd"/>
      <w:r>
        <w:t xml:space="preserve"> if the request is to hold a position of up to 11,000 lots this should be the amount stated.</w:t>
      </w:r>
    </w:p>
    <w:p w14:paraId="04043A42" w14:textId="77777777" w:rsidR="000620C5" w:rsidRDefault="000620C5" w:rsidP="000620C5">
      <w:pPr>
        <w:spacing w:before="100" w:beforeAutospacing="1" w:after="100" w:afterAutospacing="1"/>
        <w:jc w:val="both"/>
      </w:pPr>
      <w:r>
        <w:t xml:space="preserve">The application should also indicate direction, i.e., whether the level sought is long, short, or both. </w:t>
      </w:r>
    </w:p>
    <w:p w14:paraId="313BAD0D" w14:textId="77777777" w:rsidR="000620C5" w:rsidRDefault="000620C5" w:rsidP="00D61861">
      <w:pPr>
        <w:spacing w:before="100" w:beforeAutospacing="1"/>
        <w:jc w:val="both"/>
      </w:pPr>
      <w:r>
        <w:t>Applicants should further note:</w:t>
      </w:r>
    </w:p>
    <w:p w14:paraId="329F1497" w14:textId="77777777" w:rsidR="000620C5" w:rsidRDefault="000620C5" w:rsidP="000620C5">
      <w:pPr>
        <w:pStyle w:val="ListParagraph"/>
        <w:numPr>
          <w:ilvl w:val="0"/>
          <w:numId w:val="46"/>
        </w:numPr>
        <w:spacing w:before="100" w:beforeAutospacing="1" w:after="100" w:afterAutospacing="1" w:line="300" w:lineRule="auto"/>
        <w:jc w:val="both"/>
      </w:pPr>
      <w:r>
        <w:t xml:space="preserve">Exemptions are normally granted for a maximum of one year. Applications for renewal of exemptions should be made at least </w:t>
      </w:r>
      <w:proofErr w:type="gramStart"/>
      <w:r>
        <w:t>annually, unless</w:t>
      </w:r>
      <w:proofErr w:type="gramEnd"/>
      <w:r>
        <w:t xml:space="preserve"> the Exchange exercises its discretion to waive this requirement. </w:t>
      </w:r>
    </w:p>
    <w:p w14:paraId="203DC4D4" w14:textId="77777777" w:rsidR="000620C5" w:rsidRDefault="000620C5" w:rsidP="000620C5">
      <w:pPr>
        <w:pStyle w:val="ListParagraph"/>
        <w:numPr>
          <w:ilvl w:val="0"/>
          <w:numId w:val="46"/>
        </w:numPr>
        <w:spacing w:before="100" w:beforeAutospacing="1" w:after="100" w:afterAutospacing="1" w:line="300" w:lineRule="auto"/>
        <w:jc w:val="both"/>
      </w:pPr>
      <w:r>
        <w:t xml:space="preserve">Where there is a material change to the circumstances cited in support of an exemption request, the Exchange may require that an updated application be submitted. </w:t>
      </w:r>
    </w:p>
    <w:p w14:paraId="5EB56D17" w14:textId="77777777" w:rsidR="000620C5" w:rsidRDefault="000620C5" w:rsidP="000620C5">
      <w:pPr>
        <w:pStyle w:val="ListParagraph"/>
        <w:numPr>
          <w:ilvl w:val="0"/>
          <w:numId w:val="46"/>
        </w:numPr>
        <w:spacing w:before="100" w:beforeAutospacing="1" w:after="100" w:afterAutospacing="1" w:line="300" w:lineRule="auto"/>
        <w:jc w:val="both"/>
      </w:pPr>
      <w:r>
        <w:t xml:space="preserve">Where the Exchange has granted an exemption but considers it no longer consistent with its published guidance or with Exchange Rules P.3 or P.4, then at its discretion the Exchange may revoke such exemption. </w:t>
      </w:r>
    </w:p>
    <w:p w14:paraId="25FE727D" w14:textId="7CA0A3F9" w:rsidR="00DA6A89" w:rsidRDefault="000620C5" w:rsidP="000620C5">
      <w:pPr>
        <w:pStyle w:val="ListParagraph"/>
        <w:numPr>
          <w:ilvl w:val="0"/>
          <w:numId w:val="46"/>
        </w:numPr>
        <w:spacing w:before="100" w:beforeAutospacing="1" w:after="100" w:afterAutospacing="1" w:line="300" w:lineRule="auto"/>
        <w:jc w:val="both"/>
      </w:pPr>
      <w:r>
        <w:t xml:space="preserve">ICE Futures Europe may consider requests by participants for exemptions for non-enumerated </w:t>
      </w:r>
      <w:r w:rsidRPr="000620C5">
        <w:rPr>
          <w:i/>
          <w:iCs/>
        </w:rPr>
        <w:t>bona fide</w:t>
      </w:r>
      <w:r>
        <w:t xml:space="preserve"> hedging activity in a manner compatible with CFTC Rule 150.3(a)(ii) and CFTC Rule 150.9.  Any such exemptions may be subject to additional requirements and conditions</w:t>
      </w:r>
      <w:r w:rsidR="00071CC7">
        <w:t>.</w:t>
      </w:r>
    </w:p>
    <w:p w14:paraId="39BF8D5B" w14:textId="58966B4E" w:rsidR="009D37F4" w:rsidRDefault="00263911" w:rsidP="00263911">
      <w:pPr>
        <w:pStyle w:val="ListParagraph"/>
        <w:numPr>
          <w:ilvl w:val="0"/>
          <w:numId w:val="46"/>
        </w:numPr>
        <w:spacing w:after="5"/>
        <w:jc w:val="both"/>
        <w:rPr>
          <w:rFonts w:ascii="Arial" w:eastAsia="Arial" w:hAnsi="Arial" w:cs="Arial"/>
        </w:rPr>
      </w:pPr>
      <w:r w:rsidRPr="00263911">
        <w:rPr>
          <w:rFonts w:ascii="Arial" w:eastAsia="Arial" w:hAnsi="Arial" w:cs="Arial"/>
        </w:rPr>
        <w:t>As per Rule P.3(a), “</w:t>
      </w:r>
      <w:r w:rsidRPr="00263911">
        <w:rPr>
          <w:rFonts w:ascii="Arial" w:eastAsia="Arial" w:hAnsi="Arial" w:cs="Arial"/>
          <w:i/>
          <w:iCs/>
        </w:rPr>
        <w:t>A Member acting on behalf of a Person or the Person to whom an exemption has been granted shall either supply the Exchange in a timely manner with all information it may request in relation to the Person’s other related positions, including but not limited to physical cargoes, cash position, over the counter and bilateral swaps positions, positions held on or cleared by other exchanges or clearing houses, trading strategies and hedging information, or will relinquish the exemption with immediate effect</w:t>
      </w:r>
      <w:r w:rsidRPr="00263911">
        <w:rPr>
          <w:rFonts w:ascii="Arial" w:eastAsia="Arial" w:hAnsi="Arial" w:cs="Arial"/>
        </w:rPr>
        <w:t>.”</w:t>
      </w:r>
    </w:p>
    <w:p w14:paraId="49FB400C" w14:textId="23D1888D" w:rsidR="00263911" w:rsidRPr="00D61861" w:rsidRDefault="00263911" w:rsidP="00D61861">
      <w:pPr>
        <w:spacing w:after="5"/>
        <w:jc w:val="both"/>
        <w:rPr>
          <w:rFonts w:ascii="Arial" w:eastAsia="Arial" w:hAnsi="Arial" w:cs="Arial"/>
        </w:rPr>
      </w:pPr>
    </w:p>
    <w:p w14:paraId="387048FD" w14:textId="77777777" w:rsidR="00263911" w:rsidRPr="00D61861" w:rsidRDefault="00263911" w:rsidP="00D61861">
      <w:pPr>
        <w:pStyle w:val="ListParagraph"/>
        <w:spacing w:after="5"/>
        <w:jc w:val="both"/>
        <w:rPr>
          <w:rFonts w:ascii="Arial" w:eastAsia="Arial" w:hAnsi="Arial" w:cs="Arial"/>
        </w:rPr>
      </w:pPr>
    </w:p>
    <w:tbl>
      <w:tblPr>
        <w:tblStyle w:val="TableGrid0"/>
        <w:tblW w:w="9214" w:type="dxa"/>
        <w:tblInd w:w="1" w:type="dxa"/>
        <w:tblCellMar>
          <w:top w:w="7" w:type="dxa"/>
          <w:left w:w="115" w:type="dxa"/>
          <w:right w:w="115" w:type="dxa"/>
        </w:tblCellMar>
        <w:tblLook w:val="04A0" w:firstRow="1" w:lastRow="0" w:firstColumn="1" w:lastColumn="0" w:noHBand="0" w:noVBand="1"/>
      </w:tblPr>
      <w:tblGrid>
        <w:gridCol w:w="3802"/>
        <w:gridCol w:w="5412"/>
      </w:tblGrid>
      <w:tr w:rsidR="00DA6A89" w14:paraId="12A29602" w14:textId="77777777" w:rsidTr="00DA6A89">
        <w:trPr>
          <w:trHeight w:val="468"/>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7AA75F84" w14:textId="77777777" w:rsidR="00DA6A89" w:rsidRDefault="00DA6A89">
            <w:pPr>
              <w:spacing w:line="240" w:lineRule="auto"/>
              <w:ind w:right="9"/>
              <w:jc w:val="center"/>
              <w:rPr>
                <w:rFonts w:cstheme="minorHAnsi"/>
              </w:rPr>
            </w:pPr>
            <w:r>
              <w:rPr>
                <w:rFonts w:eastAsia="Arial" w:cstheme="minorHAnsi"/>
                <w:b/>
              </w:rPr>
              <w:t xml:space="preserve">APPLICANT COMPANY </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02084743" w14:textId="77777777" w:rsidR="00DA6A89" w:rsidRDefault="00DA6A89">
            <w:pPr>
              <w:spacing w:line="240" w:lineRule="auto"/>
              <w:ind w:left="56"/>
              <w:jc w:val="center"/>
            </w:pPr>
            <w:r>
              <w:rPr>
                <w:rFonts w:ascii="Arial" w:eastAsia="Arial" w:hAnsi="Arial" w:cs="Arial"/>
              </w:rPr>
              <w:t xml:space="preserve"> </w:t>
            </w:r>
          </w:p>
        </w:tc>
      </w:tr>
      <w:tr w:rsidR="00DA6A89" w14:paraId="0669CBAC" w14:textId="77777777" w:rsidTr="00DA6A89">
        <w:trPr>
          <w:trHeight w:val="470"/>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026174D8" w14:textId="77777777" w:rsidR="00DA6A89" w:rsidRDefault="00DA6A89">
            <w:pPr>
              <w:spacing w:line="240" w:lineRule="auto"/>
              <w:ind w:right="3"/>
              <w:jc w:val="center"/>
              <w:rPr>
                <w:rFonts w:cstheme="minorHAnsi"/>
              </w:rPr>
            </w:pPr>
            <w:r>
              <w:rPr>
                <w:rFonts w:eastAsia="Arial" w:cstheme="minorHAnsi"/>
                <w:b/>
              </w:rPr>
              <w:t xml:space="preserve">ACCOUNT NAME  </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6FCC29BB" w14:textId="77777777" w:rsidR="00DA6A89" w:rsidRDefault="00DA6A89">
            <w:pPr>
              <w:spacing w:line="240" w:lineRule="auto"/>
              <w:ind w:left="56"/>
              <w:jc w:val="center"/>
            </w:pPr>
            <w:r>
              <w:rPr>
                <w:rFonts w:ascii="Arial" w:eastAsia="Arial" w:hAnsi="Arial" w:cs="Arial"/>
              </w:rPr>
              <w:t xml:space="preserve"> </w:t>
            </w:r>
          </w:p>
        </w:tc>
      </w:tr>
      <w:tr w:rsidR="00DA6A89" w14:paraId="7D08928D" w14:textId="77777777" w:rsidTr="00DA6A89">
        <w:trPr>
          <w:trHeight w:val="470"/>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23B73CB5" w14:textId="77777777" w:rsidR="00DA6A89" w:rsidRDefault="00DA6A89">
            <w:pPr>
              <w:spacing w:line="240" w:lineRule="auto"/>
              <w:ind w:right="3"/>
              <w:jc w:val="center"/>
              <w:rPr>
                <w:rFonts w:cstheme="minorHAnsi"/>
              </w:rPr>
            </w:pPr>
            <w:r>
              <w:rPr>
                <w:rFonts w:eastAsia="Arial" w:cstheme="minorHAnsi"/>
                <w:b/>
              </w:rPr>
              <w:t xml:space="preserve">SUBMITTED BY  </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47A0C093" w14:textId="77777777" w:rsidR="00DA6A89" w:rsidRDefault="00DA6A89">
            <w:pPr>
              <w:spacing w:line="240" w:lineRule="auto"/>
              <w:ind w:left="56"/>
              <w:jc w:val="center"/>
            </w:pPr>
            <w:r>
              <w:rPr>
                <w:rFonts w:ascii="Arial" w:eastAsia="Arial" w:hAnsi="Arial" w:cs="Arial"/>
              </w:rPr>
              <w:t xml:space="preserve"> </w:t>
            </w:r>
          </w:p>
        </w:tc>
      </w:tr>
      <w:tr w:rsidR="00DA6A89" w14:paraId="4D0329CF" w14:textId="77777777" w:rsidTr="00DA6A89">
        <w:trPr>
          <w:trHeight w:val="469"/>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4CEB328B" w14:textId="77777777" w:rsidR="00DA6A89" w:rsidRDefault="00DA6A89">
            <w:pPr>
              <w:spacing w:line="240" w:lineRule="auto"/>
              <w:ind w:right="4"/>
              <w:jc w:val="center"/>
              <w:rPr>
                <w:rFonts w:cstheme="minorHAnsi"/>
              </w:rPr>
            </w:pPr>
            <w:r>
              <w:rPr>
                <w:rFonts w:eastAsia="Arial" w:cstheme="minorHAnsi"/>
                <w:b/>
              </w:rPr>
              <w:t xml:space="preserve">POSITION  </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75FEDA21" w14:textId="77777777" w:rsidR="00DA6A89" w:rsidRDefault="00DA6A89">
            <w:pPr>
              <w:spacing w:line="240" w:lineRule="auto"/>
              <w:ind w:left="56"/>
              <w:jc w:val="center"/>
            </w:pPr>
            <w:r>
              <w:rPr>
                <w:rFonts w:ascii="Arial" w:eastAsia="Arial" w:hAnsi="Arial" w:cs="Arial"/>
              </w:rPr>
              <w:t xml:space="preserve"> </w:t>
            </w:r>
          </w:p>
        </w:tc>
      </w:tr>
      <w:tr w:rsidR="00DA6A89" w14:paraId="3FCE8B8C" w14:textId="77777777" w:rsidTr="00DA6A89">
        <w:trPr>
          <w:trHeight w:val="469"/>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0D67D3ED" w14:textId="77777777" w:rsidR="00DA6A89" w:rsidRDefault="00DA6A89">
            <w:pPr>
              <w:spacing w:line="240" w:lineRule="auto"/>
              <w:ind w:right="4"/>
              <w:jc w:val="center"/>
              <w:rPr>
                <w:rFonts w:eastAsia="Arial" w:cstheme="minorHAnsi"/>
                <w:b/>
              </w:rPr>
            </w:pPr>
            <w:r>
              <w:rPr>
                <w:rFonts w:eastAsia="Arial" w:cstheme="minorHAnsi"/>
                <w:b/>
              </w:rPr>
              <w:t>DATE</w:t>
            </w:r>
          </w:p>
        </w:tc>
        <w:tc>
          <w:tcPr>
            <w:tcW w:w="5412" w:type="dxa"/>
            <w:tcBorders>
              <w:top w:val="single" w:sz="4" w:space="0" w:color="000000"/>
              <w:left w:val="single" w:sz="4" w:space="0" w:color="000000"/>
              <w:bottom w:val="single" w:sz="4" w:space="0" w:color="000000"/>
              <w:right w:val="single" w:sz="4" w:space="0" w:color="000000"/>
            </w:tcBorders>
            <w:vAlign w:val="center"/>
          </w:tcPr>
          <w:p w14:paraId="6339E9E3" w14:textId="77777777" w:rsidR="00DA6A89" w:rsidRDefault="00DA6A89">
            <w:pPr>
              <w:spacing w:line="240" w:lineRule="auto"/>
              <w:ind w:left="56"/>
              <w:jc w:val="center"/>
              <w:rPr>
                <w:rFonts w:ascii="Arial" w:eastAsia="Arial" w:hAnsi="Arial" w:cs="Arial"/>
              </w:rPr>
            </w:pPr>
          </w:p>
        </w:tc>
      </w:tr>
      <w:tr w:rsidR="00DA6A89" w14:paraId="37DF3281" w14:textId="77777777" w:rsidTr="00DA6A89">
        <w:trPr>
          <w:trHeight w:val="469"/>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71CC4AC7" w14:textId="77777777" w:rsidR="00DA6A89" w:rsidRDefault="00DA6A89">
            <w:pPr>
              <w:spacing w:line="240" w:lineRule="auto"/>
              <w:ind w:right="4"/>
              <w:jc w:val="center"/>
              <w:rPr>
                <w:rFonts w:eastAsia="Arial" w:cstheme="minorHAnsi"/>
                <w:b/>
              </w:rPr>
            </w:pPr>
            <w:r>
              <w:rPr>
                <w:rFonts w:eastAsia="Arial" w:cstheme="minorHAnsi"/>
                <w:b/>
              </w:rPr>
              <w:t>DURATION REQUESTED</w:t>
            </w:r>
          </w:p>
        </w:tc>
        <w:tc>
          <w:tcPr>
            <w:tcW w:w="5412" w:type="dxa"/>
            <w:tcBorders>
              <w:top w:val="single" w:sz="4" w:space="0" w:color="000000"/>
              <w:left w:val="single" w:sz="4" w:space="0" w:color="000000"/>
              <w:bottom w:val="single" w:sz="4" w:space="0" w:color="000000"/>
              <w:right w:val="single" w:sz="4" w:space="0" w:color="000000"/>
            </w:tcBorders>
            <w:vAlign w:val="center"/>
          </w:tcPr>
          <w:p w14:paraId="455DBB17" w14:textId="77777777" w:rsidR="00DA6A89" w:rsidRDefault="00DA6A89">
            <w:pPr>
              <w:spacing w:line="240" w:lineRule="auto"/>
              <w:ind w:left="56"/>
              <w:jc w:val="center"/>
              <w:rPr>
                <w:rFonts w:ascii="Arial" w:eastAsia="Arial" w:hAnsi="Arial" w:cs="Arial"/>
              </w:rPr>
            </w:pPr>
          </w:p>
        </w:tc>
      </w:tr>
    </w:tbl>
    <w:p w14:paraId="5FC7CCA4" w14:textId="0F028FCA" w:rsidR="00DA6A89" w:rsidRDefault="00DA6A89" w:rsidP="000620C5"/>
    <w:p w14:paraId="7052F48C" w14:textId="397C9998" w:rsidR="00DA6A89" w:rsidRDefault="00DA6A89" w:rsidP="000620C5"/>
    <w:tbl>
      <w:tblPr>
        <w:tblStyle w:val="TableGrid0"/>
        <w:tblW w:w="9214" w:type="dxa"/>
        <w:tblInd w:w="1" w:type="dxa"/>
        <w:tblCellMar>
          <w:top w:w="6" w:type="dxa"/>
          <w:left w:w="162" w:type="dxa"/>
          <w:right w:w="107" w:type="dxa"/>
        </w:tblCellMar>
        <w:tblLook w:val="04A0" w:firstRow="1" w:lastRow="0" w:firstColumn="1" w:lastColumn="0" w:noHBand="0" w:noVBand="1"/>
      </w:tblPr>
      <w:tblGrid>
        <w:gridCol w:w="3802"/>
        <w:gridCol w:w="5412"/>
      </w:tblGrid>
      <w:tr w:rsidR="00DA6A89" w14:paraId="74E602EA" w14:textId="77777777" w:rsidTr="00DA6A89">
        <w:trPr>
          <w:trHeight w:val="1389"/>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tcPr>
          <w:p w14:paraId="402C224F" w14:textId="77777777" w:rsidR="00DA6A89" w:rsidRDefault="00DA6A89">
            <w:pPr>
              <w:spacing w:line="240" w:lineRule="auto"/>
              <w:ind w:right="2"/>
              <w:jc w:val="center"/>
              <w:rPr>
                <w:rFonts w:cstheme="minorHAnsi"/>
              </w:rPr>
            </w:pPr>
          </w:p>
          <w:p w14:paraId="782D0DC2" w14:textId="77777777" w:rsidR="00DA6A89" w:rsidRDefault="00DA6A89">
            <w:pPr>
              <w:spacing w:line="240" w:lineRule="auto"/>
              <w:ind w:right="56"/>
              <w:jc w:val="center"/>
              <w:rPr>
                <w:rFonts w:cstheme="minorHAnsi"/>
              </w:rPr>
            </w:pPr>
            <w:r>
              <w:rPr>
                <w:rFonts w:eastAsia="Arial" w:cstheme="minorHAnsi"/>
                <w:b/>
              </w:rPr>
              <w:t xml:space="preserve">CLEARING MEMBER(S) </w:t>
            </w:r>
            <w:proofErr w:type="gramStart"/>
            <w:r>
              <w:rPr>
                <w:rFonts w:eastAsia="Arial" w:cstheme="minorHAnsi"/>
                <w:b/>
              </w:rPr>
              <w:t>WHERE</w:t>
            </w:r>
            <w:proofErr w:type="gramEnd"/>
          </w:p>
          <w:p w14:paraId="7375D33E" w14:textId="77777777" w:rsidR="00DA6A89" w:rsidRDefault="00DA6A89">
            <w:pPr>
              <w:spacing w:line="240" w:lineRule="auto"/>
              <w:ind w:left="77"/>
              <w:jc w:val="center"/>
              <w:rPr>
                <w:rFonts w:cstheme="minorHAnsi"/>
              </w:rPr>
            </w:pPr>
            <w:r>
              <w:rPr>
                <w:rFonts w:eastAsia="Arial" w:cstheme="minorHAnsi"/>
                <w:b/>
              </w:rPr>
              <w:t>ACCOUNTS WILL BE MAINTAINED</w:t>
            </w:r>
          </w:p>
          <w:p w14:paraId="0A35F6D3" w14:textId="77777777" w:rsidR="00DA6A89" w:rsidRDefault="00DA6A89">
            <w:pPr>
              <w:spacing w:line="240" w:lineRule="auto"/>
              <w:jc w:val="center"/>
              <w:rPr>
                <w:rFonts w:cstheme="minorHAnsi"/>
              </w:rPr>
            </w:pPr>
            <w:r>
              <w:rPr>
                <w:rFonts w:eastAsia="Arial" w:cstheme="minorHAnsi"/>
                <w:b/>
              </w:rPr>
              <w:t>(ATTACH AN ADDITIONAL SHEET IF</w:t>
            </w:r>
          </w:p>
          <w:p w14:paraId="534AB586" w14:textId="77777777" w:rsidR="00DA6A89" w:rsidRDefault="00DA6A89">
            <w:pPr>
              <w:spacing w:line="240" w:lineRule="auto"/>
              <w:ind w:right="59"/>
              <w:jc w:val="center"/>
              <w:rPr>
                <w:rFonts w:cstheme="minorHAnsi"/>
              </w:rPr>
            </w:pPr>
            <w:r>
              <w:rPr>
                <w:rFonts w:eastAsia="Arial" w:cstheme="minorHAnsi"/>
                <w:b/>
              </w:rPr>
              <w:t>NECESSARY)</w:t>
            </w:r>
          </w:p>
          <w:p w14:paraId="7422AA59" w14:textId="77777777" w:rsidR="00DA6A89" w:rsidRDefault="00DA6A89">
            <w:pPr>
              <w:spacing w:line="240" w:lineRule="auto"/>
              <w:ind w:right="2"/>
              <w:jc w:val="center"/>
              <w:rPr>
                <w:rFonts w:cstheme="minorHAnsi"/>
              </w:rPr>
            </w:pP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70EDFBE9" w14:textId="77777777" w:rsidR="00DA6A89" w:rsidRDefault="00DA6A89">
            <w:pPr>
              <w:spacing w:line="240" w:lineRule="auto"/>
              <w:ind w:left="2"/>
              <w:jc w:val="center"/>
            </w:pPr>
            <w:r>
              <w:rPr>
                <w:rFonts w:ascii="Arial" w:eastAsia="Arial" w:hAnsi="Arial" w:cs="Arial"/>
              </w:rPr>
              <w:t xml:space="preserve"> </w:t>
            </w:r>
          </w:p>
        </w:tc>
      </w:tr>
      <w:tr w:rsidR="00DA6A89" w14:paraId="2987030A" w14:textId="77777777" w:rsidTr="00DA6A89">
        <w:trPr>
          <w:trHeight w:val="470"/>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tcPr>
          <w:p w14:paraId="370AD327" w14:textId="77777777" w:rsidR="00DA6A89" w:rsidRDefault="00DA6A89">
            <w:pPr>
              <w:spacing w:line="240" w:lineRule="auto"/>
              <w:ind w:right="58"/>
              <w:jc w:val="center"/>
              <w:rPr>
                <w:rFonts w:cstheme="minorHAnsi"/>
              </w:rPr>
            </w:pPr>
            <w:r>
              <w:rPr>
                <w:rFonts w:eastAsia="Arial" w:cstheme="minorHAnsi"/>
                <w:b/>
              </w:rPr>
              <w:t>CLEARER NAME</w:t>
            </w:r>
          </w:p>
          <w:p w14:paraId="35535AA8" w14:textId="77777777" w:rsidR="00DA6A89" w:rsidRDefault="00DA6A89">
            <w:pPr>
              <w:spacing w:line="240" w:lineRule="auto"/>
              <w:ind w:right="2"/>
              <w:jc w:val="center"/>
              <w:rPr>
                <w:rFonts w:cstheme="minorHAnsi"/>
              </w:rPr>
            </w:pP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59C9B08D" w14:textId="77777777" w:rsidR="00DA6A89" w:rsidRDefault="00DA6A89">
            <w:pPr>
              <w:spacing w:line="240" w:lineRule="auto"/>
              <w:ind w:left="2"/>
              <w:jc w:val="center"/>
            </w:pPr>
            <w:r>
              <w:rPr>
                <w:rFonts w:ascii="Arial" w:eastAsia="Arial" w:hAnsi="Arial" w:cs="Arial"/>
              </w:rPr>
              <w:t xml:space="preserve"> </w:t>
            </w:r>
          </w:p>
        </w:tc>
      </w:tr>
      <w:tr w:rsidR="00DA6A89" w14:paraId="2B0893CD" w14:textId="77777777" w:rsidTr="00DA6A89">
        <w:trPr>
          <w:trHeight w:val="469"/>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3B8C6D1A" w14:textId="77777777" w:rsidR="00DA6A89" w:rsidRDefault="00DA6A89">
            <w:pPr>
              <w:spacing w:line="240" w:lineRule="auto"/>
              <w:ind w:right="60"/>
              <w:jc w:val="center"/>
              <w:rPr>
                <w:rFonts w:cstheme="minorHAnsi"/>
              </w:rPr>
            </w:pPr>
            <w:r>
              <w:rPr>
                <w:rFonts w:eastAsia="Arial" w:cstheme="minorHAnsi"/>
                <w:b/>
              </w:rPr>
              <w:t>ACCOUNT EXECUTIVE</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15424974" w14:textId="77777777" w:rsidR="00DA6A89" w:rsidRDefault="00DA6A89">
            <w:pPr>
              <w:spacing w:line="240" w:lineRule="auto"/>
              <w:ind w:left="2"/>
              <w:jc w:val="center"/>
            </w:pPr>
            <w:r>
              <w:rPr>
                <w:rFonts w:ascii="Arial" w:eastAsia="Arial" w:hAnsi="Arial" w:cs="Arial"/>
              </w:rPr>
              <w:t xml:space="preserve"> </w:t>
            </w:r>
          </w:p>
        </w:tc>
      </w:tr>
      <w:tr w:rsidR="00DA6A89" w14:paraId="123D2E3D" w14:textId="77777777" w:rsidTr="00DA6A89">
        <w:trPr>
          <w:trHeight w:val="468"/>
        </w:trPr>
        <w:tc>
          <w:tcPr>
            <w:tcW w:w="3802" w:type="dxa"/>
            <w:tcBorders>
              <w:top w:val="single" w:sz="4" w:space="0" w:color="000000"/>
              <w:left w:val="single" w:sz="4" w:space="0" w:color="000000"/>
              <w:bottom w:val="single" w:sz="4" w:space="0" w:color="000000"/>
              <w:right w:val="single" w:sz="4" w:space="0" w:color="000000"/>
            </w:tcBorders>
            <w:shd w:val="clear" w:color="auto" w:fill="C6E7F5" w:themeFill="accent1" w:themeFillTint="66"/>
            <w:vAlign w:val="center"/>
            <w:hideMark/>
          </w:tcPr>
          <w:p w14:paraId="031ADCD8" w14:textId="77777777" w:rsidR="00DA6A89" w:rsidRDefault="00DA6A89">
            <w:pPr>
              <w:spacing w:line="240" w:lineRule="auto"/>
              <w:ind w:right="58"/>
              <w:jc w:val="center"/>
              <w:rPr>
                <w:rFonts w:cstheme="minorHAnsi"/>
              </w:rPr>
            </w:pPr>
            <w:r>
              <w:rPr>
                <w:rFonts w:eastAsia="Arial" w:cstheme="minorHAnsi"/>
                <w:b/>
              </w:rPr>
              <w:t>ACCOUNT NUMBER</w:t>
            </w:r>
          </w:p>
        </w:tc>
        <w:tc>
          <w:tcPr>
            <w:tcW w:w="5412" w:type="dxa"/>
            <w:tcBorders>
              <w:top w:val="single" w:sz="4" w:space="0" w:color="000000"/>
              <w:left w:val="single" w:sz="4" w:space="0" w:color="000000"/>
              <w:bottom w:val="single" w:sz="4" w:space="0" w:color="000000"/>
              <w:right w:val="single" w:sz="4" w:space="0" w:color="000000"/>
            </w:tcBorders>
            <w:vAlign w:val="center"/>
            <w:hideMark/>
          </w:tcPr>
          <w:p w14:paraId="3896F4E1" w14:textId="77777777" w:rsidR="00DA6A89" w:rsidRDefault="00DA6A89">
            <w:pPr>
              <w:spacing w:line="240" w:lineRule="auto"/>
              <w:ind w:left="2"/>
              <w:jc w:val="center"/>
            </w:pPr>
            <w:r>
              <w:rPr>
                <w:rFonts w:ascii="Arial" w:eastAsia="Arial" w:hAnsi="Arial" w:cs="Arial"/>
              </w:rPr>
              <w:t xml:space="preserve"> </w:t>
            </w:r>
          </w:p>
        </w:tc>
      </w:tr>
    </w:tbl>
    <w:p w14:paraId="7C1D2412" w14:textId="04FDCE2A" w:rsidR="00DA6A89" w:rsidRDefault="00DA6A89" w:rsidP="000620C5"/>
    <w:p w14:paraId="17DACC0B" w14:textId="3FD290F9" w:rsidR="00DA6A89" w:rsidRDefault="00DA6A89" w:rsidP="000620C5"/>
    <w:p w14:paraId="0C10652B" w14:textId="6C05EBC0" w:rsidR="00DA6A89" w:rsidRDefault="00DA6A89" w:rsidP="000620C5"/>
    <w:p w14:paraId="3A320961" w14:textId="2C9EA5FB" w:rsidR="00DA6A89" w:rsidRDefault="00DA6A89" w:rsidP="000620C5"/>
    <w:p w14:paraId="5D525C8F" w14:textId="3BB5B3A4" w:rsidR="00DA6A89" w:rsidRDefault="00DA6A89" w:rsidP="000620C5"/>
    <w:p w14:paraId="44B95E50" w14:textId="166404B2" w:rsidR="00DA6A89" w:rsidRDefault="00DA6A89" w:rsidP="000620C5"/>
    <w:p w14:paraId="1614EE25" w14:textId="3C00ADE0" w:rsidR="00DA6A89" w:rsidRDefault="00DA6A89" w:rsidP="000620C5"/>
    <w:p w14:paraId="011B3934" w14:textId="0C6E36AB" w:rsidR="00DA6A89" w:rsidRDefault="00DA6A89" w:rsidP="000620C5"/>
    <w:p w14:paraId="7B33E921" w14:textId="1183865F" w:rsidR="00DA6A89" w:rsidRDefault="00DA6A89" w:rsidP="000620C5"/>
    <w:p w14:paraId="7DC6B19D" w14:textId="7F1AE5C7" w:rsidR="00DA6A89" w:rsidRDefault="00DA6A89" w:rsidP="000620C5"/>
    <w:p w14:paraId="45EDF196" w14:textId="5459EFB7" w:rsidR="00DA6A89" w:rsidRDefault="00DA6A89" w:rsidP="000620C5"/>
    <w:p w14:paraId="194E32B9" w14:textId="67FCA49E" w:rsidR="00DA6A89" w:rsidRDefault="00DA6A89" w:rsidP="000620C5"/>
    <w:p w14:paraId="62443131" w14:textId="6D1FFEF0" w:rsidR="00DA6A89" w:rsidRDefault="00DA6A89" w:rsidP="000620C5"/>
    <w:p w14:paraId="7F842ABB" w14:textId="0C68375B" w:rsidR="00DA6A89" w:rsidRDefault="00DA6A89" w:rsidP="000620C5"/>
    <w:p w14:paraId="1520556F" w14:textId="147A3FB8" w:rsidR="00DA6A89" w:rsidRDefault="00DA6A89" w:rsidP="000620C5"/>
    <w:p w14:paraId="30EB38C2" w14:textId="4AED25D2" w:rsidR="00DA6A89" w:rsidRDefault="00DA6A89" w:rsidP="000620C5"/>
    <w:p w14:paraId="06D0BDBD" w14:textId="110BA3FA" w:rsidR="00DA6A89" w:rsidRDefault="00DA6A89" w:rsidP="000620C5"/>
    <w:p w14:paraId="069E56A9" w14:textId="036F44A6" w:rsidR="00DA6A89" w:rsidRDefault="00DA6A89" w:rsidP="000620C5"/>
    <w:p w14:paraId="5EA95112" w14:textId="2098054B" w:rsidR="00DA6A89" w:rsidRDefault="00DA6A89" w:rsidP="000620C5"/>
    <w:p w14:paraId="030FDB5A" w14:textId="125EBBA7" w:rsidR="00DA6A89" w:rsidRDefault="00DA6A89" w:rsidP="000620C5"/>
    <w:p w14:paraId="5751B2BC" w14:textId="7442C88F" w:rsidR="00DA6A89" w:rsidRDefault="00DA6A89" w:rsidP="000620C5"/>
    <w:p w14:paraId="4115163A" w14:textId="610287B5" w:rsidR="00DA6A89" w:rsidRDefault="00DA6A89" w:rsidP="000620C5"/>
    <w:tbl>
      <w:tblPr>
        <w:tblStyle w:val="TableGrid"/>
        <w:tblW w:w="6160" w:type="pct"/>
        <w:tblInd w:w="-998" w:type="dxa"/>
        <w:tblLook w:val="04A0" w:firstRow="1" w:lastRow="0" w:firstColumn="1" w:lastColumn="0" w:noHBand="0" w:noVBand="1"/>
      </w:tblPr>
      <w:tblGrid>
        <w:gridCol w:w="1986"/>
        <w:gridCol w:w="3653"/>
        <w:gridCol w:w="2920"/>
        <w:gridCol w:w="2073"/>
      </w:tblGrid>
      <w:tr w:rsidR="00DA6A89" w14:paraId="5FA98BD9" w14:textId="77777777" w:rsidTr="00DA6A89">
        <w:tc>
          <w:tcPr>
            <w:tcW w:w="2652" w:type="pct"/>
            <w:gridSpan w:val="2"/>
            <w:tcBorders>
              <w:top w:val="single" w:sz="4" w:space="0" w:color="auto"/>
              <w:left w:val="single" w:sz="4" w:space="0" w:color="auto"/>
              <w:bottom w:val="single" w:sz="4" w:space="0" w:color="auto"/>
              <w:right w:val="single" w:sz="4" w:space="0" w:color="auto"/>
            </w:tcBorders>
            <w:shd w:val="clear" w:color="auto" w:fill="C6E7F5" w:themeFill="accent1" w:themeFillTint="66"/>
            <w:vAlign w:val="center"/>
            <w:hideMark/>
          </w:tcPr>
          <w:p w14:paraId="73F53449" w14:textId="77777777" w:rsidR="00DA6A89" w:rsidRDefault="00DA6A89">
            <w:pPr>
              <w:spacing w:line="240" w:lineRule="auto"/>
              <w:jc w:val="center"/>
              <w:rPr>
                <w:b/>
                <w:bCs/>
              </w:rPr>
            </w:pPr>
            <w:r>
              <w:rPr>
                <w:rFonts w:eastAsia="Arial" w:cstheme="minorHAnsi"/>
                <w:b/>
              </w:rPr>
              <w:t>STATE PRODUCT FOR WHICH EXEMPTION IS SOUGHT (E.G., ICE WTI FUTURE, ICE HEATING OIL FUTURE, ICE NEW YORK HARBOUR RBOB GASOLINE FUTURE)</w:t>
            </w:r>
            <w:r>
              <w:rPr>
                <w:b/>
                <w:bCs/>
              </w:rPr>
              <w:t>:</w:t>
            </w:r>
          </w:p>
        </w:tc>
        <w:tc>
          <w:tcPr>
            <w:tcW w:w="23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3D686" w14:textId="77777777" w:rsidR="00DA6A89" w:rsidRDefault="00DA6A89">
            <w:pPr>
              <w:spacing w:line="240" w:lineRule="auto"/>
              <w:jc w:val="center"/>
              <w:rPr>
                <w:b/>
                <w:bCs/>
              </w:rPr>
            </w:pPr>
          </w:p>
        </w:tc>
      </w:tr>
      <w:tr w:rsidR="00DA6A89" w14:paraId="415E64ED" w14:textId="77777777" w:rsidTr="00DA6A89">
        <w:tc>
          <w:tcPr>
            <w:tcW w:w="934" w:type="pct"/>
            <w:tcBorders>
              <w:top w:val="single" w:sz="4" w:space="0" w:color="auto"/>
              <w:left w:val="single" w:sz="4" w:space="0" w:color="auto"/>
              <w:bottom w:val="single" w:sz="4" w:space="0" w:color="auto"/>
              <w:right w:val="single" w:sz="4" w:space="0" w:color="auto"/>
            </w:tcBorders>
            <w:shd w:val="clear" w:color="auto" w:fill="C6E7F5" w:themeFill="accent1" w:themeFillTint="66"/>
            <w:vAlign w:val="center"/>
            <w:hideMark/>
          </w:tcPr>
          <w:p w14:paraId="0666F461" w14:textId="77777777" w:rsidR="00DA6A89" w:rsidRDefault="00DA6A89">
            <w:pPr>
              <w:spacing w:line="240" w:lineRule="auto"/>
              <w:jc w:val="center"/>
              <w:rPr>
                <w:b/>
                <w:bCs/>
              </w:rPr>
            </w:pPr>
            <w:r>
              <w:rPr>
                <w:b/>
                <w:bCs/>
              </w:rPr>
              <w:t>BASIS</w:t>
            </w:r>
          </w:p>
        </w:tc>
        <w:tc>
          <w:tcPr>
            <w:tcW w:w="1718" w:type="pct"/>
            <w:tcBorders>
              <w:top w:val="single" w:sz="4" w:space="0" w:color="auto"/>
              <w:left w:val="single" w:sz="4" w:space="0" w:color="auto"/>
              <w:bottom w:val="single" w:sz="4" w:space="0" w:color="auto"/>
              <w:right w:val="single" w:sz="4" w:space="0" w:color="auto"/>
            </w:tcBorders>
            <w:shd w:val="clear" w:color="auto" w:fill="C6E7F5" w:themeFill="accent1" w:themeFillTint="66"/>
            <w:vAlign w:val="center"/>
            <w:hideMark/>
          </w:tcPr>
          <w:p w14:paraId="36B9D9F9" w14:textId="77777777" w:rsidR="00DA6A89" w:rsidRDefault="00DA6A89">
            <w:pPr>
              <w:spacing w:line="240" w:lineRule="auto"/>
              <w:jc w:val="center"/>
              <w:rPr>
                <w:b/>
                <w:bCs/>
              </w:rPr>
            </w:pPr>
            <w:r>
              <w:rPr>
                <w:b/>
                <w:bCs/>
              </w:rPr>
              <w:t>INSTANCE</w:t>
            </w:r>
          </w:p>
        </w:tc>
        <w:tc>
          <w:tcPr>
            <w:tcW w:w="1373" w:type="pct"/>
            <w:tcBorders>
              <w:top w:val="single" w:sz="4" w:space="0" w:color="auto"/>
              <w:left w:val="single" w:sz="4" w:space="0" w:color="auto"/>
              <w:bottom w:val="single" w:sz="4" w:space="0" w:color="auto"/>
              <w:right w:val="single" w:sz="4" w:space="0" w:color="auto"/>
            </w:tcBorders>
            <w:shd w:val="clear" w:color="auto" w:fill="C6E7F5" w:themeFill="accent1" w:themeFillTint="66"/>
            <w:vAlign w:val="center"/>
            <w:hideMark/>
          </w:tcPr>
          <w:p w14:paraId="12EBE9CB" w14:textId="77777777" w:rsidR="00DA6A89" w:rsidRDefault="00DA6A89">
            <w:pPr>
              <w:spacing w:line="240" w:lineRule="auto"/>
              <w:jc w:val="center"/>
              <w:rPr>
                <w:b/>
                <w:bCs/>
              </w:rPr>
            </w:pPr>
            <w:r>
              <w:rPr>
                <w:b/>
                <w:bCs/>
              </w:rPr>
              <w:t>DESCRIPTION OF APPLICANT’S QUALIFYING BUSINESS ACTIVITY</w:t>
            </w:r>
          </w:p>
        </w:tc>
        <w:tc>
          <w:tcPr>
            <w:tcW w:w="975" w:type="pct"/>
            <w:tcBorders>
              <w:top w:val="single" w:sz="4" w:space="0" w:color="auto"/>
              <w:left w:val="single" w:sz="4" w:space="0" w:color="auto"/>
              <w:bottom w:val="single" w:sz="4" w:space="0" w:color="auto"/>
              <w:right w:val="single" w:sz="4" w:space="0" w:color="auto"/>
            </w:tcBorders>
            <w:shd w:val="clear" w:color="auto" w:fill="C6E7F5" w:themeFill="accent1" w:themeFillTint="66"/>
            <w:vAlign w:val="center"/>
            <w:hideMark/>
          </w:tcPr>
          <w:p w14:paraId="7F74DD65" w14:textId="77777777" w:rsidR="00DA6A89" w:rsidRDefault="00DA6A89">
            <w:pPr>
              <w:spacing w:line="240" w:lineRule="auto"/>
              <w:jc w:val="center"/>
              <w:rPr>
                <w:b/>
                <w:bCs/>
              </w:rPr>
            </w:pPr>
            <w:r>
              <w:rPr>
                <w:b/>
                <w:bCs/>
              </w:rPr>
              <w:t>QTY SOUGHT (LOTS)</w:t>
            </w:r>
          </w:p>
        </w:tc>
      </w:tr>
      <w:tr w:rsidR="00DA6A89" w14:paraId="73C36472" w14:textId="77777777" w:rsidTr="00DA6A89">
        <w:tc>
          <w:tcPr>
            <w:tcW w:w="934" w:type="pct"/>
            <w:vMerge w:val="restart"/>
            <w:tcBorders>
              <w:top w:val="single" w:sz="4" w:space="0" w:color="auto"/>
              <w:left w:val="single" w:sz="4" w:space="0" w:color="auto"/>
              <w:bottom w:val="single" w:sz="4" w:space="0" w:color="auto"/>
              <w:right w:val="single" w:sz="4" w:space="0" w:color="auto"/>
            </w:tcBorders>
            <w:shd w:val="clear" w:color="auto" w:fill="E1E2DC"/>
            <w:vAlign w:val="center"/>
            <w:hideMark/>
          </w:tcPr>
          <w:p w14:paraId="5D52AE0A" w14:textId="77777777" w:rsidR="00DA6A89" w:rsidRDefault="00DA6A89">
            <w:pPr>
              <w:spacing w:line="240" w:lineRule="auto"/>
              <w:jc w:val="center"/>
            </w:pPr>
            <w:r>
              <w:rPr>
                <w:i/>
                <w:iCs/>
              </w:rPr>
              <w:t>Enumerated Bona fide</w:t>
            </w:r>
            <w:r>
              <w:t xml:space="preserve"> hedging transactions or positions</w:t>
            </w:r>
          </w:p>
        </w:tc>
        <w:tc>
          <w:tcPr>
            <w:tcW w:w="1718" w:type="pct"/>
            <w:tcBorders>
              <w:top w:val="single" w:sz="4" w:space="0" w:color="auto"/>
              <w:left w:val="single" w:sz="4" w:space="0" w:color="auto"/>
              <w:bottom w:val="single" w:sz="4" w:space="0" w:color="auto"/>
              <w:right w:val="single" w:sz="4" w:space="0" w:color="auto"/>
            </w:tcBorders>
            <w:hideMark/>
          </w:tcPr>
          <w:p w14:paraId="47EB9C96" w14:textId="77777777" w:rsidR="00DA6A89" w:rsidRDefault="00DA6A89">
            <w:pPr>
              <w:spacing w:line="240" w:lineRule="auto"/>
            </w:pPr>
            <w:r>
              <w:t>Hedges of inventory and cash commodity fixed-price purchase contracts</w:t>
            </w:r>
          </w:p>
        </w:tc>
        <w:tc>
          <w:tcPr>
            <w:tcW w:w="1373" w:type="pct"/>
            <w:tcBorders>
              <w:top w:val="single" w:sz="4" w:space="0" w:color="auto"/>
              <w:left w:val="single" w:sz="4" w:space="0" w:color="auto"/>
              <w:bottom w:val="single" w:sz="4" w:space="0" w:color="auto"/>
              <w:right w:val="single" w:sz="4" w:space="0" w:color="auto"/>
            </w:tcBorders>
          </w:tcPr>
          <w:p w14:paraId="34E2EFFF"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011DEABF" w14:textId="77777777" w:rsidR="00DA6A89" w:rsidRDefault="00DA6A89">
            <w:pPr>
              <w:spacing w:line="240" w:lineRule="auto"/>
            </w:pPr>
          </w:p>
        </w:tc>
      </w:tr>
      <w:tr w:rsidR="00DA6A89" w14:paraId="15B86D5F"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29F1590F"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2AF26C31" w14:textId="77777777" w:rsidR="00DA6A89" w:rsidRDefault="00DA6A89">
            <w:pPr>
              <w:spacing w:line="240" w:lineRule="auto"/>
            </w:pPr>
            <w:r>
              <w:t>Hedges of cash commodity fixed-price sales contracts</w:t>
            </w:r>
          </w:p>
        </w:tc>
        <w:tc>
          <w:tcPr>
            <w:tcW w:w="1373" w:type="pct"/>
            <w:tcBorders>
              <w:top w:val="single" w:sz="4" w:space="0" w:color="auto"/>
              <w:left w:val="single" w:sz="4" w:space="0" w:color="auto"/>
              <w:bottom w:val="single" w:sz="4" w:space="0" w:color="auto"/>
              <w:right w:val="single" w:sz="4" w:space="0" w:color="auto"/>
            </w:tcBorders>
          </w:tcPr>
          <w:p w14:paraId="312D622D"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351C320A" w14:textId="77777777" w:rsidR="00DA6A89" w:rsidRDefault="00DA6A89">
            <w:pPr>
              <w:spacing w:line="240" w:lineRule="auto"/>
            </w:pPr>
          </w:p>
        </w:tc>
      </w:tr>
      <w:tr w:rsidR="00DA6A89" w14:paraId="21244E7F"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5F4890C7"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7DE71621" w14:textId="77777777" w:rsidR="00DA6A89" w:rsidRDefault="00DA6A89">
            <w:pPr>
              <w:spacing w:line="240" w:lineRule="auto"/>
            </w:pPr>
            <w:r>
              <w:t>Hedges of offsetting unfixed-price cash commodity sales and purchases</w:t>
            </w:r>
          </w:p>
        </w:tc>
        <w:tc>
          <w:tcPr>
            <w:tcW w:w="1373" w:type="pct"/>
            <w:tcBorders>
              <w:top w:val="single" w:sz="4" w:space="0" w:color="auto"/>
              <w:left w:val="single" w:sz="4" w:space="0" w:color="auto"/>
              <w:bottom w:val="single" w:sz="4" w:space="0" w:color="auto"/>
              <w:right w:val="single" w:sz="4" w:space="0" w:color="auto"/>
            </w:tcBorders>
          </w:tcPr>
          <w:p w14:paraId="2548E926"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792525B3" w14:textId="77777777" w:rsidR="00DA6A89" w:rsidRDefault="00DA6A89">
            <w:pPr>
              <w:spacing w:line="240" w:lineRule="auto"/>
            </w:pPr>
          </w:p>
        </w:tc>
      </w:tr>
      <w:tr w:rsidR="00DA6A89" w14:paraId="47DE41CF"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08E42B64"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34615938" w14:textId="77777777" w:rsidR="00DA6A89" w:rsidRDefault="00DA6A89">
            <w:pPr>
              <w:spacing w:line="240" w:lineRule="auto"/>
            </w:pPr>
            <w:r>
              <w:t>Hedges of unsold anticipated production</w:t>
            </w:r>
          </w:p>
        </w:tc>
        <w:tc>
          <w:tcPr>
            <w:tcW w:w="1373" w:type="pct"/>
            <w:tcBorders>
              <w:top w:val="single" w:sz="4" w:space="0" w:color="auto"/>
              <w:left w:val="single" w:sz="4" w:space="0" w:color="auto"/>
              <w:bottom w:val="single" w:sz="4" w:space="0" w:color="auto"/>
              <w:right w:val="single" w:sz="4" w:space="0" w:color="auto"/>
            </w:tcBorders>
          </w:tcPr>
          <w:p w14:paraId="15A89489"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7F57016A" w14:textId="77777777" w:rsidR="00DA6A89" w:rsidRDefault="00DA6A89">
            <w:pPr>
              <w:spacing w:line="240" w:lineRule="auto"/>
            </w:pPr>
          </w:p>
        </w:tc>
      </w:tr>
      <w:tr w:rsidR="00DA6A89" w14:paraId="126DA11F"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348F773E"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7EDE6594" w14:textId="77777777" w:rsidR="00DA6A89" w:rsidRDefault="00DA6A89">
            <w:pPr>
              <w:spacing w:line="240" w:lineRule="auto"/>
            </w:pPr>
            <w:r>
              <w:t>Hedges of unfilled anticipated requirements</w:t>
            </w:r>
          </w:p>
        </w:tc>
        <w:tc>
          <w:tcPr>
            <w:tcW w:w="1373" w:type="pct"/>
            <w:tcBorders>
              <w:top w:val="single" w:sz="4" w:space="0" w:color="auto"/>
              <w:left w:val="single" w:sz="4" w:space="0" w:color="auto"/>
              <w:bottom w:val="single" w:sz="4" w:space="0" w:color="auto"/>
              <w:right w:val="single" w:sz="4" w:space="0" w:color="auto"/>
            </w:tcBorders>
          </w:tcPr>
          <w:p w14:paraId="34EBD9B9"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570C6AE4" w14:textId="77777777" w:rsidR="00DA6A89" w:rsidRDefault="00DA6A89">
            <w:pPr>
              <w:spacing w:line="240" w:lineRule="auto"/>
            </w:pPr>
          </w:p>
        </w:tc>
      </w:tr>
      <w:tr w:rsidR="00DA6A89" w14:paraId="23E3774A"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12CAD225"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09EC8B8B" w14:textId="77777777" w:rsidR="00DA6A89" w:rsidRDefault="00DA6A89">
            <w:pPr>
              <w:spacing w:line="240" w:lineRule="auto"/>
            </w:pPr>
            <w:r>
              <w:t>Hedges of anticipated merchandising</w:t>
            </w:r>
          </w:p>
        </w:tc>
        <w:tc>
          <w:tcPr>
            <w:tcW w:w="1373" w:type="pct"/>
            <w:tcBorders>
              <w:top w:val="single" w:sz="4" w:space="0" w:color="auto"/>
              <w:left w:val="single" w:sz="4" w:space="0" w:color="auto"/>
              <w:bottom w:val="single" w:sz="4" w:space="0" w:color="auto"/>
              <w:right w:val="single" w:sz="4" w:space="0" w:color="auto"/>
            </w:tcBorders>
          </w:tcPr>
          <w:p w14:paraId="52B20C84"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13970690" w14:textId="77777777" w:rsidR="00DA6A89" w:rsidRDefault="00DA6A89">
            <w:pPr>
              <w:spacing w:line="240" w:lineRule="auto"/>
            </w:pPr>
          </w:p>
        </w:tc>
      </w:tr>
      <w:tr w:rsidR="00DA6A89" w14:paraId="22B99325"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68641577"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62987049" w14:textId="77777777" w:rsidR="00DA6A89" w:rsidRDefault="00DA6A89">
            <w:pPr>
              <w:spacing w:line="240" w:lineRule="auto"/>
            </w:pPr>
            <w:r>
              <w:t>Hedges by agents</w:t>
            </w:r>
          </w:p>
        </w:tc>
        <w:tc>
          <w:tcPr>
            <w:tcW w:w="1373" w:type="pct"/>
            <w:tcBorders>
              <w:top w:val="single" w:sz="4" w:space="0" w:color="auto"/>
              <w:left w:val="single" w:sz="4" w:space="0" w:color="auto"/>
              <w:bottom w:val="single" w:sz="4" w:space="0" w:color="auto"/>
              <w:right w:val="single" w:sz="4" w:space="0" w:color="auto"/>
            </w:tcBorders>
          </w:tcPr>
          <w:p w14:paraId="0D189C9B"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043C91FF" w14:textId="77777777" w:rsidR="00DA6A89" w:rsidRDefault="00DA6A89">
            <w:pPr>
              <w:spacing w:line="240" w:lineRule="auto"/>
            </w:pPr>
          </w:p>
        </w:tc>
      </w:tr>
      <w:tr w:rsidR="00DA6A89" w14:paraId="63B04CCF"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444EAC10"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192BAF71" w14:textId="77777777" w:rsidR="00DA6A89" w:rsidRDefault="00DA6A89">
            <w:pPr>
              <w:spacing w:line="240" w:lineRule="auto"/>
            </w:pPr>
            <w:r>
              <w:t>Hedges of anticipated mineral royalties</w:t>
            </w:r>
          </w:p>
        </w:tc>
        <w:tc>
          <w:tcPr>
            <w:tcW w:w="1373" w:type="pct"/>
            <w:tcBorders>
              <w:top w:val="single" w:sz="4" w:space="0" w:color="auto"/>
              <w:left w:val="single" w:sz="4" w:space="0" w:color="auto"/>
              <w:bottom w:val="single" w:sz="4" w:space="0" w:color="auto"/>
              <w:right w:val="single" w:sz="4" w:space="0" w:color="auto"/>
            </w:tcBorders>
          </w:tcPr>
          <w:p w14:paraId="3BF63C6C"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7078C1D0" w14:textId="77777777" w:rsidR="00DA6A89" w:rsidRDefault="00DA6A89">
            <w:pPr>
              <w:spacing w:line="240" w:lineRule="auto"/>
            </w:pPr>
          </w:p>
        </w:tc>
      </w:tr>
      <w:tr w:rsidR="00DA6A89" w14:paraId="226A36C7"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7D7F91F6"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220F98BC" w14:textId="77777777" w:rsidR="00DA6A89" w:rsidRDefault="00DA6A89">
            <w:pPr>
              <w:spacing w:line="240" w:lineRule="auto"/>
            </w:pPr>
            <w:r>
              <w:t>Hedges of anticipated services</w:t>
            </w:r>
          </w:p>
        </w:tc>
        <w:tc>
          <w:tcPr>
            <w:tcW w:w="1373" w:type="pct"/>
            <w:tcBorders>
              <w:top w:val="single" w:sz="4" w:space="0" w:color="auto"/>
              <w:left w:val="single" w:sz="4" w:space="0" w:color="auto"/>
              <w:bottom w:val="single" w:sz="4" w:space="0" w:color="auto"/>
              <w:right w:val="single" w:sz="4" w:space="0" w:color="auto"/>
            </w:tcBorders>
          </w:tcPr>
          <w:p w14:paraId="4B631C45"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344050D8" w14:textId="77777777" w:rsidR="00DA6A89" w:rsidRDefault="00DA6A89">
            <w:pPr>
              <w:spacing w:line="240" w:lineRule="auto"/>
            </w:pPr>
          </w:p>
        </w:tc>
      </w:tr>
      <w:tr w:rsidR="00DA6A89" w14:paraId="4E13C209"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5FC42EA2"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043DDB7D" w14:textId="77777777" w:rsidR="00DA6A89" w:rsidRDefault="00DA6A89">
            <w:pPr>
              <w:spacing w:line="240" w:lineRule="auto"/>
            </w:pPr>
            <w:r>
              <w:t>Offsets of commodity trade options</w:t>
            </w:r>
          </w:p>
        </w:tc>
        <w:tc>
          <w:tcPr>
            <w:tcW w:w="1373" w:type="pct"/>
            <w:tcBorders>
              <w:top w:val="single" w:sz="4" w:space="0" w:color="auto"/>
              <w:left w:val="single" w:sz="4" w:space="0" w:color="auto"/>
              <w:bottom w:val="single" w:sz="4" w:space="0" w:color="auto"/>
              <w:right w:val="single" w:sz="4" w:space="0" w:color="auto"/>
            </w:tcBorders>
          </w:tcPr>
          <w:p w14:paraId="541A0DB2"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068C43DA" w14:textId="77777777" w:rsidR="00DA6A89" w:rsidRDefault="00DA6A89">
            <w:pPr>
              <w:spacing w:line="240" w:lineRule="auto"/>
            </w:pPr>
          </w:p>
        </w:tc>
      </w:tr>
      <w:tr w:rsidR="00DA6A89" w14:paraId="6FD694CD"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6707A3D1" w14:textId="77777777" w:rsidR="00DA6A89" w:rsidRDefault="00DA6A89">
            <w:pPr>
              <w:spacing w:line="240" w:lineRule="auto"/>
              <w:rPr>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14:paraId="2B246CE2" w14:textId="77777777" w:rsidR="00DA6A89" w:rsidRDefault="00DA6A89">
            <w:pPr>
              <w:spacing w:line="240" w:lineRule="auto"/>
            </w:pPr>
            <w:r>
              <w:t>Cross-commodity hedges</w:t>
            </w:r>
          </w:p>
        </w:tc>
        <w:tc>
          <w:tcPr>
            <w:tcW w:w="1373" w:type="pct"/>
            <w:tcBorders>
              <w:top w:val="single" w:sz="4" w:space="0" w:color="auto"/>
              <w:left w:val="single" w:sz="4" w:space="0" w:color="auto"/>
              <w:bottom w:val="single" w:sz="4" w:space="0" w:color="auto"/>
              <w:right w:val="single" w:sz="4" w:space="0" w:color="auto"/>
            </w:tcBorders>
          </w:tcPr>
          <w:p w14:paraId="2F71D96B"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3DAEA401" w14:textId="77777777" w:rsidR="00DA6A89" w:rsidRDefault="00DA6A89">
            <w:pPr>
              <w:spacing w:line="240" w:lineRule="auto"/>
            </w:pPr>
          </w:p>
        </w:tc>
      </w:tr>
      <w:tr w:rsidR="00DA6A89" w14:paraId="451D714C" w14:textId="77777777" w:rsidTr="00DA6A89">
        <w:tc>
          <w:tcPr>
            <w:tcW w:w="934" w:type="pct"/>
            <w:tcBorders>
              <w:top w:val="single" w:sz="4" w:space="0" w:color="auto"/>
              <w:left w:val="single" w:sz="4" w:space="0" w:color="auto"/>
              <w:bottom w:val="single" w:sz="4" w:space="0" w:color="auto"/>
              <w:right w:val="single" w:sz="4" w:space="0" w:color="auto"/>
            </w:tcBorders>
            <w:shd w:val="clear" w:color="auto" w:fill="E1E2DC"/>
            <w:vAlign w:val="center"/>
          </w:tcPr>
          <w:p w14:paraId="16175F88" w14:textId="77777777" w:rsidR="00DA6A89" w:rsidRDefault="00DA6A89">
            <w:pPr>
              <w:spacing w:line="240" w:lineRule="auto"/>
              <w:ind w:left="113" w:right="113"/>
              <w:jc w:val="center"/>
            </w:pPr>
            <w:r>
              <w:t>Spread transactions</w:t>
            </w:r>
          </w:p>
          <w:p w14:paraId="19B89CFB" w14:textId="77777777" w:rsidR="00DA6A89" w:rsidRDefault="00DA6A89">
            <w:pPr>
              <w:spacing w:line="240" w:lineRule="auto"/>
              <w:jc w:val="center"/>
            </w:pPr>
          </w:p>
        </w:tc>
        <w:tc>
          <w:tcPr>
            <w:tcW w:w="1718" w:type="pct"/>
            <w:tcBorders>
              <w:top w:val="single" w:sz="4" w:space="0" w:color="auto"/>
              <w:left w:val="single" w:sz="4" w:space="0" w:color="auto"/>
              <w:bottom w:val="single" w:sz="4" w:space="0" w:color="auto"/>
              <w:right w:val="single" w:sz="4" w:space="0" w:color="auto"/>
            </w:tcBorders>
            <w:hideMark/>
          </w:tcPr>
          <w:p w14:paraId="5A6B01FA" w14:textId="77777777" w:rsidR="00DA6A89" w:rsidRDefault="00DA6A89">
            <w:pPr>
              <w:spacing w:line="240" w:lineRule="auto"/>
            </w:pPr>
            <w:r>
              <w:t>intra-market spread, inter-market spread, intra-commodity spread, or inter-commodity spread, including a calendar spread, quality differential spread, processing spread, product or by-product differential spread, or futures-option spread</w:t>
            </w:r>
          </w:p>
        </w:tc>
        <w:tc>
          <w:tcPr>
            <w:tcW w:w="1373" w:type="pct"/>
            <w:tcBorders>
              <w:top w:val="single" w:sz="4" w:space="0" w:color="auto"/>
              <w:left w:val="single" w:sz="4" w:space="0" w:color="auto"/>
              <w:bottom w:val="single" w:sz="4" w:space="0" w:color="auto"/>
              <w:right w:val="single" w:sz="4" w:space="0" w:color="auto"/>
            </w:tcBorders>
          </w:tcPr>
          <w:p w14:paraId="5637C7E2"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34FC10CE" w14:textId="77777777" w:rsidR="00DA6A89" w:rsidRDefault="00DA6A89">
            <w:pPr>
              <w:spacing w:line="240" w:lineRule="auto"/>
            </w:pPr>
          </w:p>
        </w:tc>
      </w:tr>
      <w:tr w:rsidR="00DA6A89" w14:paraId="2006FE5C" w14:textId="77777777" w:rsidTr="00DA6A89">
        <w:tc>
          <w:tcPr>
            <w:tcW w:w="934" w:type="pct"/>
            <w:tcBorders>
              <w:top w:val="single" w:sz="4" w:space="0" w:color="auto"/>
              <w:left w:val="single" w:sz="4" w:space="0" w:color="auto"/>
              <w:bottom w:val="single" w:sz="4" w:space="0" w:color="auto"/>
              <w:right w:val="single" w:sz="4" w:space="0" w:color="auto"/>
            </w:tcBorders>
            <w:shd w:val="clear" w:color="auto" w:fill="E1E2DC"/>
            <w:vAlign w:val="center"/>
            <w:hideMark/>
          </w:tcPr>
          <w:p w14:paraId="15904EDF" w14:textId="77777777" w:rsidR="00DA6A89" w:rsidRDefault="00DA6A89">
            <w:pPr>
              <w:spacing w:line="240" w:lineRule="auto"/>
              <w:ind w:left="113" w:right="113"/>
              <w:jc w:val="center"/>
            </w:pPr>
            <w:r>
              <w:rPr>
                <w:i/>
                <w:iCs/>
              </w:rPr>
              <w:t>Bona fide</w:t>
            </w:r>
            <w:r>
              <w:t xml:space="preserve"> hedging </w:t>
            </w:r>
            <w:proofErr w:type="gramStart"/>
            <w:r>
              <w:t>Non-Enumerated</w:t>
            </w:r>
            <w:proofErr w:type="gramEnd"/>
            <w:r>
              <w:t xml:space="preserve"> hedging of transactions or positions as per CFTC Rule 150.3(a)(ii) and CFR 150.9</w:t>
            </w:r>
          </w:p>
        </w:tc>
        <w:tc>
          <w:tcPr>
            <w:tcW w:w="1718" w:type="pct"/>
            <w:tcBorders>
              <w:top w:val="single" w:sz="4" w:space="0" w:color="auto"/>
              <w:left w:val="single" w:sz="4" w:space="0" w:color="auto"/>
              <w:bottom w:val="single" w:sz="4" w:space="0" w:color="auto"/>
              <w:right w:val="single" w:sz="4" w:space="0" w:color="auto"/>
            </w:tcBorders>
            <w:hideMark/>
          </w:tcPr>
          <w:p w14:paraId="5C2E87D1" w14:textId="77777777" w:rsidR="00DA6A89" w:rsidRDefault="00DA6A89">
            <w:pPr>
              <w:spacing w:line="240" w:lineRule="auto"/>
            </w:pPr>
            <w:r>
              <w:rPr>
                <w:i/>
                <w:iCs/>
              </w:rPr>
              <w:t>Bona fide</w:t>
            </w:r>
            <w:r>
              <w:t xml:space="preserve"> hedging </w:t>
            </w:r>
            <w:proofErr w:type="gramStart"/>
            <w:r>
              <w:t>Non-Enumerated</w:t>
            </w:r>
            <w:proofErr w:type="gramEnd"/>
            <w:r>
              <w:t xml:space="preserve"> hedging of transactions or positions</w:t>
            </w:r>
          </w:p>
        </w:tc>
        <w:tc>
          <w:tcPr>
            <w:tcW w:w="1373" w:type="pct"/>
            <w:tcBorders>
              <w:top w:val="single" w:sz="4" w:space="0" w:color="auto"/>
              <w:left w:val="single" w:sz="4" w:space="0" w:color="auto"/>
              <w:bottom w:val="single" w:sz="4" w:space="0" w:color="auto"/>
              <w:right w:val="single" w:sz="4" w:space="0" w:color="auto"/>
            </w:tcBorders>
          </w:tcPr>
          <w:p w14:paraId="001D4FB8"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7F8803CE" w14:textId="77777777" w:rsidR="00DA6A89" w:rsidRDefault="00DA6A89">
            <w:pPr>
              <w:spacing w:line="240" w:lineRule="auto"/>
            </w:pPr>
          </w:p>
        </w:tc>
      </w:tr>
      <w:tr w:rsidR="00DA6A89" w14:paraId="6A4CAE67" w14:textId="77777777" w:rsidTr="00DA6A89">
        <w:tc>
          <w:tcPr>
            <w:tcW w:w="934" w:type="pct"/>
            <w:tcBorders>
              <w:top w:val="single" w:sz="4" w:space="0" w:color="auto"/>
              <w:left w:val="single" w:sz="4" w:space="0" w:color="auto"/>
              <w:bottom w:val="single" w:sz="4" w:space="0" w:color="auto"/>
              <w:right w:val="single" w:sz="4" w:space="0" w:color="auto"/>
            </w:tcBorders>
            <w:shd w:val="clear" w:color="auto" w:fill="E1E2DC"/>
            <w:vAlign w:val="center"/>
          </w:tcPr>
          <w:p w14:paraId="4758CF56" w14:textId="77777777" w:rsidR="00DA6A89" w:rsidRDefault="00DA6A89">
            <w:pPr>
              <w:spacing w:line="240" w:lineRule="auto"/>
              <w:ind w:left="113" w:right="113"/>
              <w:jc w:val="center"/>
            </w:pPr>
            <w:r>
              <w:t>Financial distress positions, where permitted under CFTC Rule 150.3(a)(3)</w:t>
            </w:r>
          </w:p>
          <w:p w14:paraId="3516EDC2" w14:textId="77777777" w:rsidR="00DA6A89" w:rsidRDefault="00DA6A89">
            <w:pPr>
              <w:spacing w:line="240" w:lineRule="auto"/>
              <w:jc w:val="center"/>
            </w:pPr>
          </w:p>
        </w:tc>
        <w:tc>
          <w:tcPr>
            <w:tcW w:w="1718" w:type="pct"/>
            <w:tcBorders>
              <w:top w:val="single" w:sz="4" w:space="0" w:color="auto"/>
              <w:left w:val="single" w:sz="4" w:space="0" w:color="auto"/>
              <w:bottom w:val="single" w:sz="4" w:space="0" w:color="auto"/>
              <w:right w:val="single" w:sz="4" w:space="0" w:color="auto"/>
            </w:tcBorders>
            <w:hideMark/>
          </w:tcPr>
          <w:p w14:paraId="4BAC0B4F" w14:textId="77777777" w:rsidR="00DA6A89" w:rsidRDefault="00DA6A89">
            <w:pPr>
              <w:spacing w:line="240" w:lineRule="auto"/>
            </w:pPr>
            <w:r>
              <w:t>…financial distress circumstances include, but are not limited to, situations involving the potential default or bankruptcy of a customer of the requesting person or persons, an affiliate of the requesting person or persons, or a potential acquisition target of the requesting person or persons</w:t>
            </w:r>
          </w:p>
        </w:tc>
        <w:tc>
          <w:tcPr>
            <w:tcW w:w="1373" w:type="pct"/>
            <w:tcBorders>
              <w:top w:val="single" w:sz="4" w:space="0" w:color="auto"/>
              <w:left w:val="single" w:sz="4" w:space="0" w:color="auto"/>
              <w:bottom w:val="single" w:sz="4" w:space="0" w:color="auto"/>
              <w:right w:val="single" w:sz="4" w:space="0" w:color="auto"/>
            </w:tcBorders>
          </w:tcPr>
          <w:p w14:paraId="223ABBC1" w14:textId="77777777" w:rsidR="00DA6A89" w:rsidRDefault="00DA6A89">
            <w:pPr>
              <w:spacing w:line="240" w:lineRule="auto"/>
            </w:pPr>
          </w:p>
        </w:tc>
        <w:tc>
          <w:tcPr>
            <w:tcW w:w="975" w:type="pct"/>
            <w:tcBorders>
              <w:top w:val="single" w:sz="4" w:space="0" w:color="auto"/>
              <w:left w:val="single" w:sz="4" w:space="0" w:color="auto"/>
              <w:bottom w:val="single" w:sz="4" w:space="0" w:color="auto"/>
              <w:right w:val="single" w:sz="4" w:space="0" w:color="auto"/>
            </w:tcBorders>
          </w:tcPr>
          <w:p w14:paraId="42419DBA" w14:textId="77777777" w:rsidR="00DA6A89" w:rsidRDefault="00DA6A89">
            <w:pPr>
              <w:spacing w:line="240" w:lineRule="auto"/>
            </w:pPr>
          </w:p>
        </w:tc>
      </w:tr>
      <w:tr w:rsidR="00DA6A89" w14:paraId="3B16A5E6" w14:textId="77777777" w:rsidTr="00DA6A89">
        <w:tc>
          <w:tcPr>
            <w:tcW w:w="934" w:type="pct"/>
            <w:vMerge w:val="restart"/>
            <w:tcBorders>
              <w:top w:val="single" w:sz="4" w:space="0" w:color="auto"/>
              <w:left w:val="single" w:sz="4" w:space="0" w:color="auto"/>
              <w:bottom w:val="single" w:sz="4" w:space="0" w:color="auto"/>
              <w:right w:val="single" w:sz="4" w:space="0" w:color="auto"/>
            </w:tcBorders>
            <w:shd w:val="clear" w:color="auto" w:fill="E1E2DC"/>
            <w:vAlign w:val="center"/>
            <w:hideMark/>
          </w:tcPr>
          <w:p w14:paraId="1ACB8A59" w14:textId="77777777" w:rsidR="00DA6A89" w:rsidRDefault="00DA6A89">
            <w:pPr>
              <w:spacing w:line="240" w:lineRule="auto"/>
              <w:ind w:left="113" w:right="113"/>
              <w:jc w:val="center"/>
              <w:rPr>
                <w:b/>
                <w:bCs/>
              </w:rPr>
            </w:pPr>
            <w:r>
              <w:rPr>
                <w:b/>
                <w:bCs/>
              </w:rPr>
              <w:t>Total sought</w:t>
            </w:r>
          </w:p>
        </w:tc>
        <w:tc>
          <w:tcPr>
            <w:tcW w:w="3091" w:type="pct"/>
            <w:gridSpan w:val="2"/>
            <w:tcBorders>
              <w:top w:val="single" w:sz="4" w:space="0" w:color="auto"/>
              <w:left w:val="single" w:sz="4" w:space="0" w:color="auto"/>
              <w:bottom w:val="single" w:sz="4" w:space="0" w:color="auto"/>
              <w:right w:val="single" w:sz="4" w:space="0" w:color="auto"/>
            </w:tcBorders>
            <w:hideMark/>
          </w:tcPr>
          <w:p w14:paraId="0D874583" w14:textId="77777777" w:rsidR="00DA6A89" w:rsidRDefault="00DA6A89">
            <w:pPr>
              <w:spacing w:line="240" w:lineRule="auto"/>
            </w:pPr>
            <w:r>
              <w:t>Long:</w:t>
            </w:r>
          </w:p>
        </w:tc>
        <w:tc>
          <w:tcPr>
            <w:tcW w:w="975" w:type="pct"/>
            <w:tcBorders>
              <w:top w:val="single" w:sz="4" w:space="0" w:color="auto"/>
              <w:left w:val="single" w:sz="4" w:space="0" w:color="auto"/>
              <w:bottom w:val="single" w:sz="4" w:space="0" w:color="auto"/>
              <w:right w:val="single" w:sz="4" w:space="0" w:color="auto"/>
            </w:tcBorders>
          </w:tcPr>
          <w:p w14:paraId="19826984" w14:textId="77777777" w:rsidR="00DA6A89" w:rsidRDefault="00DA6A89">
            <w:pPr>
              <w:spacing w:line="240" w:lineRule="auto"/>
            </w:pPr>
          </w:p>
        </w:tc>
      </w:tr>
      <w:tr w:rsidR="00DA6A89" w14:paraId="70FCB42E" w14:textId="77777777" w:rsidTr="00DA6A89">
        <w:tc>
          <w:tcPr>
            <w:tcW w:w="934" w:type="pct"/>
            <w:vMerge/>
            <w:tcBorders>
              <w:top w:val="single" w:sz="4" w:space="0" w:color="auto"/>
              <w:left w:val="single" w:sz="4" w:space="0" w:color="auto"/>
              <w:bottom w:val="single" w:sz="4" w:space="0" w:color="auto"/>
              <w:right w:val="single" w:sz="4" w:space="0" w:color="auto"/>
            </w:tcBorders>
            <w:vAlign w:val="center"/>
            <w:hideMark/>
          </w:tcPr>
          <w:p w14:paraId="6EE74430" w14:textId="77777777" w:rsidR="00DA6A89" w:rsidRDefault="00DA6A89">
            <w:pPr>
              <w:spacing w:line="240" w:lineRule="auto"/>
              <w:rPr>
                <w:b/>
                <w:bCs/>
                <w:sz w:val="22"/>
                <w:szCs w:val="22"/>
              </w:rPr>
            </w:pPr>
          </w:p>
        </w:tc>
        <w:tc>
          <w:tcPr>
            <w:tcW w:w="3091" w:type="pct"/>
            <w:gridSpan w:val="2"/>
            <w:tcBorders>
              <w:top w:val="single" w:sz="4" w:space="0" w:color="auto"/>
              <w:left w:val="single" w:sz="4" w:space="0" w:color="auto"/>
              <w:bottom w:val="single" w:sz="4" w:space="0" w:color="auto"/>
              <w:right w:val="single" w:sz="4" w:space="0" w:color="auto"/>
            </w:tcBorders>
            <w:hideMark/>
          </w:tcPr>
          <w:p w14:paraId="392FEB43" w14:textId="77777777" w:rsidR="00DA6A89" w:rsidRDefault="00DA6A89">
            <w:pPr>
              <w:spacing w:line="240" w:lineRule="auto"/>
            </w:pPr>
            <w:r>
              <w:t>Short:</w:t>
            </w:r>
          </w:p>
        </w:tc>
        <w:tc>
          <w:tcPr>
            <w:tcW w:w="975" w:type="pct"/>
            <w:tcBorders>
              <w:top w:val="single" w:sz="4" w:space="0" w:color="auto"/>
              <w:left w:val="single" w:sz="4" w:space="0" w:color="auto"/>
              <w:bottom w:val="single" w:sz="4" w:space="0" w:color="auto"/>
              <w:right w:val="single" w:sz="4" w:space="0" w:color="auto"/>
            </w:tcBorders>
          </w:tcPr>
          <w:p w14:paraId="7E612CB2" w14:textId="77777777" w:rsidR="00DA6A89" w:rsidRDefault="00DA6A89">
            <w:pPr>
              <w:spacing w:line="240" w:lineRule="auto"/>
            </w:pPr>
          </w:p>
        </w:tc>
      </w:tr>
    </w:tbl>
    <w:p w14:paraId="2BEA80C0" w14:textId="5E5A1A31" w:rsidR="00DA6A89" w:rsidRDefault="00DA6A89" w:rsidP="000620C5"/>
    <w:tbl>
      <w:tblPr>
        <w:tblStyle w:val="TableGrid0"/>
        <w:tblW w:w="6078" w:type="pct"/>
        <w:tblInd w:w="-998" w:type="dxa"/>
        <w:tblCellMar>
          <w:top w:w="6" w:type="dxa"/>
          <w:left w:w="107" w:type="dxa"/>
          <w:right w:w="51" w:type="dxa"/>
        </w:tblCellMar>
        <w:tblLook w:val="04A0" w:firstRow="1" w:lastRow="0" w:firstColumn="1" w:lastColumn="0" w:noHBand="0" w:noVBand="1"/>
      </w:tblPr>
      <w:tblGrid>
        <w:gridCol w:w="2927"/>
        <w:gridCol w:w="7564"/>
      </w:tblGrid>
      <w:tr w:rsidR="00DA6A89" w14:paraId="1AE39A5C" w14:textId="77777777" w:rsidTr="00DA6A89">
        <w:trPr>
          <w:trHeight w:val="161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1E2DC"/>
          </w:tcPr>
          <w:p w14:paraId="31D22300" w14:textId="77777777" w:rsidR="00DA6A89" w:rsidRDefault="00DA6A89">
            <w:pPr>
              <w:spacing w:line="240" w:lineRule="auto"/>
            </w:pPr>
          </w:p>
          <w:p w14:paraId="659579C2" w14:textId="77777777" w:rsidR="00DA6A89" w:rsidRDefault="00DA6A89">
            <w:pPr>
              <w:spacing w:line="240" w:lineRule="auto"/>
              <w:ind w:right="54"/>
              <w:jc w:val="both"/>
            </w:pPr>
            <w:r>
              <w:rPr>
                <w:rFonts w:ascii="Arial" w:eastAsia="Arial" w:hAnsi="Arial" w:cs="Arial"/>
                <w:b/>
              </w:rPr>
              <w:t xml:space="preserve">I CONFIRM THAT THE APPLICANT WILL COMPLY WITH ANY LIMITATIONS IMPOSED BY THE EXCHANGE WITH REGARD TO SUCH POSITIONS; AND THAT THE APPLICANT WILL IMMEDIATELY SUPPLY THE EXCHANGE WITH A SUPPLEMENTAL STATEMENT WHENEVER THERE IS A MATERIAL CHANGE TO THE INFORMATION PROVIDED IN THE APPLICANTS MOST RECENT APPLICATION. </w:t>
            </w:r>
          </w:p>
          <w:p w14:paraId="326D019C" w14:textId="77777777" w:rsidR="00DA6A89" w:rsidRDefault="00DA6A89">
            <w:pPr>
              <w:spacing w:line="240" w:lineRule="auto"/>
            </w:pPr>
            <w:r>
              <w:rPr>
                <w:rFonts w:ascii="Arial" w:eastAsia="Arial" w:hAnsi="Arial" w:cs="Arial"/>
                <w:b/>
              </w:rPr>
              <w:t xml:space="preserve"> </w:t>
            </w:r>
          </w:p>
        </w:tc>
      </w:tr>
      <w:tr w:rsidR="00DA6A89" w14:paraId="4F5E7F1C" w14:textId="77777777" w:rsidTr="00DA6A89">
        <w:trPr>
          <w:trHeight w:val="698"/>
        </w:trPr>
        <w:tc>
          <w:tcPr>
            <w:tcW w:w="1395" w:type="pct"/>
            <w:vMerge w:val="restart"/>
            <w:tcBorders>
              <w:top w:val="single" w:sz="4" w:space="0" w:color="000000"/>
              <w:left w:val="single" w:sz="4" w:space="0" w:color="000000"/>
              <w:bottom w:val="single" w:sz="4" w:space="0" w:color="000000"/>
              <w:right w:val="single" w:sz="4" w:space="0" w:color="000000"/>
            </w:tcBorders>
            <w:shd w:val="clear" w:color="auto" w:fill="E1E2DC"/>
            <w:hideMark/>
          </w:tcPr>
          <w:p w14:paraId="28A58959" w14:textId="77777777" w:rsidR="00DA6A89" w:rsidRDefault="00DA6A89">
            <w:pPr>
              <w:spacing w:line="240" w:lineRule="auto"/>
            </w:pPr>
            <w:r>
              <w:rPr>
                <w:rFonts w:ascii="Arial" w:eastAsia="Arial" w:hAnsi="Arial" w:cs="Arial"/>
                <w:b/>
              </w:rPr>
              <w:t xml:space="preserve"> </w:t>
            </w:r>
          </w:p>
          <w:p w14:paraId="7192F192" w14:textId="77777777" w:rsidR="00DA6A89" w:rsidRDefault="00DA6A89">
            <w:pPr>
              <w:spacing w:line="240" w:lineRule="auto"/>
            </w:pPr>
            <w:r>
              <w:rPr>
                <w:rFonts w:ascii="Arial" w:eastAsia="Arial" w:hAnsi="Arial" w:cs="Arial"/>
                <w:b/>
              </w:rPr>
              <w:t xml:space="preserve">SIGNED </w:t>
            </w:r>
          </w:p>
          <w:p w14:paraId="2D4A70DE" w14:textId="77777777" w:rsidR="00DA6A89" w:rsidRDefault="00DA6A89">
            <w:pPr>
              <w:spacing w:line="240" w:lineRule="auto"/>
            </w:pPr>
            <w:r>
              <w:rPr>
                <w:rFonts w:ascii="Arial" w:eastAsia="Arial" w:hAnsi="Arial" w:cs="Arial"/>
                <w:b/>
              </w:rPr>
              <w:t xml:space="preserve"> </w:t>
            </w:r>
          </w:p>
          <w:p w14:paraId="1BD8ADD2" w14:textId="77777777" w:rsidR="00DA6A89" w:rsidRDefault="00DA6A89">
            <w:pPr>
              <w:spacing w:line="240" w:lineRule="auto"/>
            </w:pPr>
            <w:r>
              <w:rPr>
                <w:rFonts w:ascii="Arial" w:eastAsia="Arial" w:hAnsi="Arial" w:cs="Arial"/>
                <w:b/>
              </w:rPr>
              <w:t xml:space="preserve"> </w:t>
            </w:r>
          </w:p>
          <w:p w14:paraId="62911B77" w14:textId="77777777" w:rsidR="00DA6A89" w:rsidRDefault="00DA6A89">
            <w:pPr>
              <w:spacing w:line="240" w:lineRule="auto"/>
            </w:pPr>
            <w:r>
              <w:rPr>
                <w:rFonts w:ascii="Arial" w:eastAsia="Arial" w:hAnsi="Arial" w:cs="Arial"/>
                <w:b/>
              </w:rPr>
              <w:t xml:space="preserve">DATE </w:t>
            </w:r>
          </w:p>
          <w:p w14:paraId="73D79DB0" w14:textId="77777777" w:rsidR="00DA6A89" w:rsidRDefault="00DA6A89">
            <w:pPr>
              <w:spacing w:line="240" w:lineRule="auto"/>
            </w:pPr>
            <w:r>
              <w:rPr>
                <w:rFonts w:ascii="Arial" w:eastAsia="Arial" w:hAnsi="Arial" w:cs="Arial"/>
                <w:b/>
              </w:rPr>
              <w:t xml:space="preserve"> </w:t>
            </w:r>
          </w:p>
        </w:tc>
        <w:tc>
          <w:tcPr>
            <w:tcW w:w="360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C953A3" w14:textId="77777777" w:rsidR="00DA6A89" w:rsidRDefault="00DA6A89">
            <w:pPr>
              <w:spacing w:line="240" w:lineRule="auto"/>
              <w:ind w:left="2"/>
            </w:pPr>
            <w:r>
              <w:rPr>
                <w:rFonts w:ascii="Arial" w:eastAsia="Arial" w:hAnsi="Arial" w:cs="Arial"/>
              </w:rPr>
              <w:t xml:space="preserve"> </w:t>
            </w:r>
          </w:p>
          <w:p w14:paraId="139A60DF" w14:textId="77777777" w:rsidR="00DA6A89" w:rsidRDefault="00DA6A89">
            <w:pPr>
              <w:spacing w:line="240" w:lineRule="auto"/>
              <w:ind w:left="2"/>
            </w:pPr>
            <w:r>
              <w:rPr>
                <w:rFonts w:ascii="Arial" w:eastAsia="Arial" w:hAnsi="Arial" w:cs="Arial"/>
              </w:rPr>
              <w:t xml:space="preserve"> </w:t>
            </w:r>
          </w:p>
          <w:p w14:paraId="2482F785" w14:textId="77777777" w:rsidR="00DA6A89" w:rsidRDefault="00DA6A89">
            <w:pPr>
              <w:spacing w:line="240" w:lineRule="auto"/>
              <w:ind w:left="2"/>
            </w:pPr>
            <w:r>
              <w:rPr>
                <w:rFonts w:ascii="Arial" w:eastAsia="Arial" w:hAnsi="Arial" w:cs="Arial"/>
              </w:rPr>
              <w:t xml:space="preserve"> </w:t>
            </w:r>
          </w:p>
        </w:tc>
      </w:tr>
      <w:tr w:rsidR="00DA6A89" w14:paraId="015C2083" w14:textId="77777777" w:rsidTr="00DA6A89">
        <w:trPr>
          <w:trHeight w:val="700"/>
        </w:trPr>
        <w:tc>
          <w:tcPr>
            <w:tcW w:w="1395" w:type="pct"/>
            <w:vMerge/>
            <w:tcBorders>
              <w:top w:val="single" w:sz="4" w:space="0" w:color="000000"/>
              <w:left w:val="single" w:sz="4" w:space="0" w:color="000000"/>
              <w:bottom w:val="single" w:sz="4" w:space="0" w:color="000000"/>
              <w:right w:val="single" w:sz="4" w:space="0" w:color="000000"/>
            </w:tcBorders>
            <w:vAlign w:val="center"/>
            <w:hideMark/>
          </w:tcPr>
          <w:p w14:paraId="773F2E2F" w14:textId="77777777" w:rsidR="00DA6A89" w:rsidRDefault="00DA6A89">
            <w:pPr>
              <w:spacing w:line="240" w:lineRule="auto"/>
              <w:rPr>
                <w:sz w:val="22"/>
              </w:rPr>
            </w:pPr>
          </w:p>
        </w:tc>
        <w:tc>
          <w:tcPr>
            <w:tcW w:w="36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DDBB92F" w14:textId="77777777" w:rsidR="00DA6A89" w:rsidRDefault="00DA6A89">
            <w:pPr>
              <w:spacing w:line="240" w:lineRule="auto"/>
              <w:ind w:left="2"/>
            </w:pPr>
            <w:r>
              <w:rPr>
                <w:rFonts w:ascii="Arial" w:eastAsia="Arial" w:hAnsi="Arial" w:cs="Arial"/>
              </w:rPr>
              <w:t xml:space="preserve"> </w:t>
            </w:r>
          </w:p>
        </w:tc>
      </w:tr>
    </w:tbl>
    <w:p w14:paraId="526A75DE" w14:textId="77777777" w:rsidR="00DA6A89" w:rsidRDefault="00DA6A89" w:rsidP="00DA6A89">
      <w:pPr>
        <w:spacing w:line="240" w:lineRule="auto"/>
        <w:rPr>
          <w:rFonts w:ascii="Arial" w:eastAsia="Arial" w:hAnsi="Arial" w:cs="Arial"/>
        </w:rPr>
      </w:pPr>
    </w:p>
    <w:p w14:paraId="0942604E" w14:textId="77777777" w:rsidR="00DA6A89" w:rsidRDefault="00DA6A89" w:rsidP="00DA6A89">
      <w:pPr>
        <w:spacing w:line="240" w:lineRule="auto"/>
        <w:rPr>
          <w:rFonts w:ascii="Arial" w:eastAsia="Arial" w:hAnsi="Arial" w:cs="Arial"/>
        </w:rPr>
      </w:pPr>
    </w:p>
    <w:p w14:paraId="758F6D10" w14:textId="77777777" w:rsidR="00DA6A89" w:rsidRDefault="00DA6A89" w:rsidP="00DA6A89">
      <w:pPr>
        <w:spacing w:line="240" w:lineRule="auto"/>
        <w:rPr>
          <w:rFonts w:ascii="Arial" w:eastAsia="Arial" w:hAnsi="Arial" w:cs="Arial"/>
        </w:rPr>
      </w:pPr>
    </w:p>
    <w:p w14:paraId="3AA5E7CF" w14:textId="77777777" w:rsidR="00DA6A89" w:rsidRDefault="00DA6A89" w:rsidP="00DA6A89">
      <w:pPr>
        <w:spacing w:line="240" w:lineRule="auto"/>
        <w:rPr>
          <w:rFonts w:ascii="Arial" w:eastAsia="Arial" w:hAnsi="Arial" w:cs="Arial"/>
        </w:rPr>
      </w:pPr>
    </w:p>
    <w:p w14:paraId="0C6F5E3C" w14:textId="1A57F02E" w:rsidR="00DA6A89" w:rsidRDefault="00DA6A89" w:rsidP="00DA6A89">
      <w:pPr>
        <w:spacing w:line="240" w:lineRule="auto"/>
        <w:jc w:val="both"/>
      </w:pPr>
      <w:r>
        <w:rPr>
          <w:rFonts w:ascii="Arial" w:eastAsia="Arial" w:hAnsi="Arial" w:cs="Arial"/>
        </w:rPr>
        <w:t xml:space="preserve">This form must be submitted no later than five (5) business days prior to exceeding the position limit to: </w:t>
      </w:r>
    </w:p>
    <w:p w14:paraId="2DB6FA9C" w14:textId="77777777" w:rsidR="00DA6A89" w:rsidRDefault="00DA6A89" w:rsidP="00DA6A89">
      <w:pPr>
        <w:jc w:val="both"/>
      </w:pPr>
    </w:p>
    <w:p w14:paraId="34D59AA5" w14:textId="70D06B49" w:rsidR="00DA6A89" w:rsidRDefault="00000000" w:rsidP="000620C5">
      <w:hyperlink r:id="rId14" w:history="1">
        <w:r w:rsidR="00071CC7" w:rsidRPr="00A636CC">
          <w:rPr>
            <w:rStyle w:val="Hyperlink"/>
          </w:rPr>
          <w:t>compliance-europe-positionlimitoversight@ice.com</w:t>
        </w:r>
      </w:hyperlink>
      <w:r w:rsidR="00071CC7">
        <w:t xml:space="preserve"> </w:t>
      </w:r>
    </w:p>
    <w:p w14:paraId="663DC0DF" w14:textId="6A1D0EAA" w:rsidR="00DA6A89" w:rsidRDefault="00DA6A89" w:rsidP="000620C5"/>
    <w:p w14:paraId="77C87FEC" w14:textId="61E07DB7" w:rsidR="00DA6A89" w:rsidRDefault="00DA6A89" w:rsidP="000620C5"/>
    <w:p w14:paraId="7C43AE6B" w14:textId="4B873003" w:rsidR="00DA6A89" w:rsidRDefault="00DA6A89" w:rsidP="000620C5"/>
    <w:p w14:paraId="1C49C7B9" w14:textId="557FB582" w:rsidR="00DA6A89" w:rsidRDefault="00DA6A89" w:rsidP="000620C5"/>
    <w:p w14:paraId="1F632A00" w14:textId="3A4EF973" w:rsidR="00DA6A89" w:rsidRDefault="00DA6A89" w:rsidP="000620C5"/>
    <w:p w14:paraId="02C47424" w14:textId="45A847DE" w:rsidR="00DA6A89" w:rsidRDefault="00DA6A89" w:rsidP="000620C5"/>
    <w:p w14:paraId="63D9F1BB" w14:textId="3B1B7ADC" w:rsidR="00DA6A89" w:rsidRDefault="00DA6A89" w:rsidP="000620C5"/>
    <w:p w14:paraId="2845214A" w14:textId="77777777" w:rsidR="00DA6A89" w:rsidRDefault="00DA6A89" w:rsidP="000620C5"/>
    <w:p w14:paraId="75BF9834" w14:textId="254BD5A3" w:rsidR="000620C5" w:rsidRDefault="000620C5" w:rsidP="000620C5"/>
    <w:p w14:paraId="694FA248" w14:textId="2F119CB8" w:rsidR="00DA6A89" w:rsidRDefault="00DA6A89" w:rsidP="000620C5"/>
    <w:p w14:paraId="51B5FC49" w14:textId="4D9C5443" w:rsidR="00DA6A89" w:rsidRDefault="00DA6A89" w:rsidP="000620C5"/>
    <w:p w14:paraId="01595CB8" w14:textId="5C46B22B" w:rsidR="00DA6A89" w:rsidRDefault="00DA6A89" w:rsidP="000620C5"/>
    <w:p w14:paraId="1F2E05B9" w14:textId="439E50F0" w:rsidR="00DA6A89" w:rsidRDefault="00DA6A89" w:rsidP="000620C5"/>
    <w:p w14:paraId="2B93F303" w14:textId="65DE7C2D" w:rsidR="00DA6A89" w:rsidRDefault="00DA6A89" w:rsidP="000620C5"/>
    <w:p w14:paraId="234EAC22" w14:textId="1C2E4967" w:rsidR="00DA6A89" w:rsidRDefault="00DA6A89" w:rsidP="000620C5"/>
    <w:p w14:paraId="36C2BEF9" w14:textId="68252607" w:rsidR="00DA6A89" w:rsidRDefault="00DA6A89" w:rsidP="000620C5"/>
    <w:p w14:paraId="7430D6FF" w14:textId="10B4E987" w:rsidR="00DA6A89" w:rsidRDefault="00DA6A89" w:rsidP="000620C5"/>
    <w:p w14:paraId="001B526C" w14:textId="3335BC99" w:rsidR="00DA6A89" w:rsidRDefault="00DA6A89" w:rsidP="000620C5"/>
    <w:p w14:paraId="5B3280EA" w14:textId="48439FC2" w:rsidR="00071CC7" w:rsidRPr="00071CC7" w:rsidRDefault="00071CC7" w:rsidP="00071CC7">
      <w:pPr>
        <w:tabs>
          <w:tab w:val="left" w:pos="5640"/>
        </w:tabs>
      </w:pPr>
    </w:p>
    <w:sectPr w:rsidR="00071CC7" w:rsidRPr="00071CC7" w:rsidSect="0056394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21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80AE" w14:textId="77777777" w:rsidR="00DB00A6" w:rsidRDefault="00DB00A6" w:rsidP="00A73DA2">
      <w:pPr>
        <w:spacing w:line="240" w:lineRule="auto"/>
      </w:pPr>
      <w:r>
        <w:separator/>
      </w:r>
    </w:p>
    <w:p w14:paraId="1A60858E" w14:textId="77777777" w:rsidR="00DB00A6" w:rsidRDefault="00DB00A6"/>
  </w:endnote>
  <w:endnote w:type="continuationSeparator" w:id="0">
    <w:p w14:paraId="35B10754" w14:textId="77777777" w:rsidR="00DB00A6" w:rsidRDefault="00DB00A6" w:rsidP="00A73DA2">
      <w:pPr>
        <w:spacing w:line="240" w:lineRule="auto"/>
      </w:pPr>
      <w:r>
        <w:continuationSeparator/>
      </w:r>
    </w:p>
    <w:p w14:paraId="6372F728" w14:textId="77777777" w:rsidR="00DB00A6" w:rsidRDefault="00DB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A181" w14:textId="77777777" w:rsidR="004F2B6C" w:rsidRDefault="004F2B6C" w:rsidP="00B57A2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33A8E7" w14:textId="1FC42443" w:rsidR="004F2B6C" w:rsidRDefault="00000000" w:rsidP="00B57A24">
    <w:pPr>
      <w:pStyle w:val="Footer"/>
    </w:pPr>
    <w:sdt>
      <w:sdtPr>
        <w:id w:val="-253747393"/>
        <w:temporary/>
        <w:showingPlcHdr/>
      </w:sdtPr>
      <w:sdtContent>
        <w:r w:rsidR="004F2B6C">
          <w:t>[Type text]</w:t>
        </w:r>
      </w:sdtContent>
    </w:sdt>
    <w:r w:rsidR="004F2B6C">
      <w:ptab w:relativeTo="margin" w:alignment="center" w:leader="none"/>
    </w:r>
    <w:sdt>
      <w:sdtPr>
        <w:id w:val="254866731"/>
        <w:temporary/>
        <w:showingPlcHdr/>
      </w:sdtPr>
      <w:sdtContent>
        <w:r w:rsidR="004F2B6C">
          <w:t>[Type text]</w:t>
        </w:r>
      </w:sdtContent>
    </w:sdt>
    <w:r w:rsidR="004F2B6C">
      <w:ptab w:relativeTo="margin" w:alignment="right" w:leader="none"/>
    </w:r>
    <w:sdt>
      <w:sdtPr>
        <w:id w:val="-258210471"/>
        <w:temporary/>
        <w:showingPlcHdr/>
      </w:sdtPr>
      <w:sdtContent>
        <w:r w:rsidR="004F2B6C">
          <w:t>[Type text]</w:t>
        </w:r>
      </w:sdtContent>
    </w:sdt>
  </w:p>
  <w:p w14:paraId="385CC39A" w14:textId="77777777" w:rsidR="004F2B6C" w:rsidRDefault="004F2B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BB7D" w14:textId="77777777" w:rsidR="00DA6A89" w:rsidRDefault="00DA6A89" w:rsidP="001C7FD3">
    <w:pPr>
      <w:pStyle w:val="Footer"/>
      <w:rPr>
        <w:rStyle w:val="FooterChar"/>
      </w:rPr>
    </w:pPr>
  </w:p>
  <w:p w14:paraId="647875DD" w14:textId="77777777" w:rsidR="00DA6A89" w:rsidRDefault="00DA6A89" w:rsidP="001C7FD3">
    <w:pPr>
      <w:pStyle w:val="Footer"/>
      <w:rPr>
        <w:rStyle w:val="FooterChar"/>
      </w:rPr>
    </w:pPr>
  </w:p>
  <w:p w14:paraId="74ABCDE1" w14:textId="08D68B06" w:rsidR="00DA6A89" w:rsidRDefault="00DA6A89" w:rsidP="001C7FD3">
    <w:pPr>
      <w:pStyle w:val="Footer"/>
      <w:rPr>
        <w:rStyle w:val="FooterChar"/>
      </w:rPr>
    </w:pPr>
    <w:r>
      <w:rPr>
        <w:rStyle w:val="FooterChar"/>
      </w:rPr>
      <w:t>ICE Futures Europe Application for Exemptions from Referenced Contract Position Limits</w:t>
    </w:r>
    <w:r w:rsidR="004F2B6C" w:rsidRPr="00F57422">
      <w:rPr>
        <w:rStyle w:val="FooterChar"/>
      </w:rPr>
      <w:t xml:space="preserve"> | </w:t>
    </w:r>
    <w:r w:rsidR="00061F83">
      <w:rPr>
        <w:rStyle w:val="FooterChar"/>
      </w:rPr>
      <w:t xml:space="preserve">February </w:t>
    </w:r>
    <w:r>
      <w:rPr>
        <w:rStyle w:val="FooterChar"/>
      </w:rPr>
      <w:t>202</w:t>
    </w:r>
    <w:r w:rsidR="00071CC7">
      <w:rPr>
        <w:rStyle w:val="FooterChar"/>
      </w:rPr>
      <w:t>3</w:t>
    </w:r>
  </w:p>
  <w:p w14:paraId="073836C3" w14:textId="7C4E8E1A" w:rsidR="004F2B6C" w:rsidRPr="00F57422" w:rsidRDefault="004F2B6C" w:rsidP="001C7FD3">
    <w:pPr>
      <w:pStyle w:val="Footer"/>
      <w:rPr>
        <w:rStyle w:val="Strong"/>
        <w:bCs w:val="0"/>
      </w:rPr>
    </w:pPr>
    <w:r w:rsidRPr="00F57422">
      <w:ptab w:relativeTo="margin" w:alignment="right" w:leader="none"/>
    </w:r>
    <w:r w:rsidRPr="00F57422">
      <w:fldChar w:fldCharType="begin"/>
    </w:r>
    <w:r w:rsidRPr="00F57422">
      <w:instrText xml:space="preserve"> PAGE   \* MERGEFORMAT </w:instrText>
    </w:r>
    <w:r w:rsidRPr="00F57422">
      <w:fldChar w:fldCharType="separate"/>
    </w:r>
    <w:r w:rsidR="0056394B">
      <w:rPr>
        <w:noProof/>
      </w:rPr>
      <w:t>2</w:t>
    </w:r>
    <w:r w:rsidRPr="00F57422">
      <w:rPr>
        <w:noProof/>
      </w:rPr>
      <w:fldChar w:fldCharType="end"/>
    </w:r>
  </w:p>
  <w:p w14:paraId="51FC8940" w14:textId="77777777" w:rsidR="004F2B6C" w:rsidRPr="00F57422" w:rsidRDefault="004F2B6C" w:rsidP="00B57A24">
    <w:pPr>
      <w:pStyle w:val="Footer"/>
    </w:pPr>
  </w:p>
  <w:p w14:paraId="7FAFC854" w14:textId="036C1342" w:rsidR="004F2B6C" w:rsidRPr="00F57422" w:rsidRDefault="004F2B6C" w:rsidP="001C7FD3">
    <w:pPr>
      <w:pStyle w:val="Copyright"/>
      <w:rPr>
        <w:color w:val="4D4D4D" w:themeColor="accent4"/>
      </w:rPr>
    </w:pPr>
    <w:bookmarkStart w:id="0" w:name="OLE_LINK13"/>
    <w:bookmarkStart w:id="1" w:name="OLE_LINK14"/>
    <w:bookmarkStart w:id="2" w:name="_Hlk127213247"/>
    <w:r w:rsidRPr="00F57422">
      <w:rPr>
        <w:color w:val="4D4D4D" w:themeColor="accent4"/>
      </w:rPr>
      <w:t>© 20</w:t>
    </w:r>
    <w:r w:rsidR="003A6BE2">
      <w:rPr>
        <w:color w:val="4D4D4D" w:themeColor="accent4"/>
      </w:rPr>
      <w:t>2</w:t>
    </w:r>
    <w:r w:rsidR="00071CC7">
      <w:rPr>
        <w:color w:val="4D4D4D" w:themeColor="accent4"/>
      </w:rPr>
      <w:t>3</w:t>
    </w:r>
    <w:r w:rsidR="0000374A">
      <w:rPr>
        <w:color w:val="4D4D4D" w:themeColor="accent4"/>
      </w:rPr>
      <w:t xml:space="preserve"> </w:t>
    </w:r>
    <w:r w:rsidRPr="00F57422">
      <w:rPr>
        <w:color w:val="4D4D4D" w:themeColor="accent4"/>
      </w:rPr>
      <w:t>Intercontinental Exchange, Inc.</w:t>
    </w:r>
    <w:bookmarkEnd w:id="0"/>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DA0F" w14:textId="77777777" w:rsidR="00B711BD" w:rsidRDefault="00B7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A12A" w14:textId="77777777" w:rsidR="00DB00A6" w:rsidRDefault="00DB00A6" w:rsidP="00A73DA2">
      <w:pPr>
        <w:spacing w:line="240" w:lineRule="auto"/>
      </w:pPr>
      <w:r>
        <w:separator/>
      </w:r>
    </w:p>
    <w:p w14:paraId="41B995CF" w14:textId="77777777" w:rsidR="00DB00A6" w:rsidRDefault="00DB00A6"/>
  </w:footnote>
  <w:footnote w:type="continuationSeparator" w:id="0">
    <w:p w14:paraId="4785AD8B" w14:textId="77777777" w:rsidR="00DB00A6" w:rsidRDefault="00DB00A6" w:rsidP="00A73DA2">
      <w:pPr>
        <w:spacing w:line="240" w:lineRule="auto"/>
      </w:pPr>
      <w:r>
        <w:continuationSeparator/>
      </w:r>
    </w:p>
    <w:p w14:paraId="6E5F9B1D" w14:textId="77777777" w:rsidR="00DB00A6" w:rsidRDefault="00DB00A6"/>
  </w:footnote>
  <w:footnote w:id="1">
    <w:p w14:paraId="2E104C4F" w14:textId="77777777" w:rsidR="000620C5" w:rsidRPr="000620C5" w:rsidRDefault="000620C5" w:rsidP="000620C5">
      <w:pPr>
        <w:jc w:val="both"/>
        <w:rPr>
          <w:sz w:val="14"/>
          <w:szCs w:val="14"/>
        </w:rPr>
      </w:pPr>
      <w:r w:rsidRPr="000620C5">
        <w:rPr>
          <w:rStyle w:val="FootnoteReference"/>
          <w:sz w:val="14"/>
          <w:szCs w:val="14"/>
        </w:rPr>
        <w:footnoteRef/>
      </w:r>
      <w:r w:rsidRPr="000620C5">
        <w:rPr>
          <w:sz w:val="14"/>
          <w:szCs w:val="14"/>
        </w:rPr>
        <w:t xml:space="preserve"> For a full description of all the available bases for exemption, applicants should refer to the Part 150 of the CFTC Regulations, in particular Sections</w:t>
      </w:r>
      <w:r w:rsidRPr="000620C5">
        <w:rPr>
          <w:rFonts w:ascii="Segoe UI" w:eastAsia="Times New Roman" w:hAnsi="Segoe UI" w:cs="Segoe UI"/>
          <w:sz w:val="14"/>
          <w:szCs w:val="14"/>
        </w:rPr>
        <w:t xml:space="preserve"> </w:t>
      </w:r>
      <w:hyperlink r:id="rId1" w:tgtFrame="_blank" w:tooltip="https://www.ecfr.gov/current/title-17/chapter-i/part-150/section-150.1" w:history="1">
        <w:r w:rsidRPr="000620C5">
          <w:rPr>
            <w:rStyle w:val="Hyperlink"/>
            <w:rFonts w:eastAsia="Times New Roman" w:cstheme="minorHAnsi"/>
            <w:sz w:val="14"/>
            <w:szCs w:val="14"/>
          </w:rPr>
          <w:t>§ 150.1 Definitions</w:t>
        </w:r>
      </w:hyperlink>
      <w:r w:rsidRPr="000620C5">
        <w:rPr>
          <w:rFonts w:eastAsia="Times New Roman" w:cstheme="minorHAnsi"/>
          <w:sz w:val="14"/>
          <w:szCs w:val="14"/>
        </w:rPr>
        <w:t xml:space="preserve"> and </w:t>
      </w:r>
      <w:hyperlink r:id="rId2" w:history="1">
        <w:r w:rsidRPr="000620C5">
          <w:rPr>
            <w:rStyle w:val="Hyperlink"/>
            <w:rFonts w:eastAsia="Times New Roman" w:cstheme="minorHAnsi"/>
            <w:sz w:val="14"/>
            <w:szCs w:val="14"/>
          </w:rPr>
          <w:t>§ 150.3 Exemptions.</w:t>
        </w:r>
      </w:hyperlink>
    </w:p>
    <w:p w14:paraId="424C2C8C" w14:textId="77777777" w:rsidR="000620C5" w:rsidRDefault="000620C5" w:rsidP="000620C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69EB" w14:textId="77777777" w:rsidR="004F2B6C" w:rsidRDefault="00000000" w:rsidP="005E30F3">
    <w:pPr>
      <w:pStyle w:val="Header"/>
    </w:pPr>
    <w:sdt>
      <w:sdtPr>
        <w:id w:val="-1942297107"/>
        <w:temporary/>
        <w:showingPlcHdr/>
      </w:sdtPr>
      <w:sdtContent>
        <w:r w:rsidR="004F2B6C">
          <w:t>[Type text]</w:t>
        </w:r>
      </w:sdtContent>
    </w:sdt>
    <w:r w:rsidR="004F2B6C">
      <w:ptab w:relativeTo="margin" w:alignment="center" w:leader="none"/>
    </w:r>
    <w:sdt>
      <w:sdtPr>
        <w:id w:val="562381332"/>
        <w:temporary/>
        <w:showingPlcHdr/>
      </w:sdtPr>
      <w:sdtContent>
        <w:r w:rsidR="004F2B6C">
          <w:t>[Type text]</w:t>
        </w:r>
      </w:sdtContent>
    </w:sdt>
    <w:r w:rsidR="004F2B6C">
      <w:ptab w:relativeTo="margin" w:alignment="right" w:leader="none"/>
    </w:r>
    <w:sdt>
      <w:sdtPr>
        <w:id w:val="1158963532"/>
        <w:temporary/>
        <w:showingPlcHdr/>
      </w:sdtPr>
      <w:sdtContent>
        <w:r w:rsidR="004F2B6C">
          <w:t>[Type text]</w:t>
        </w:r>
      </w:sdtContent>
    </w:sdt>
  </w:p>
  <w:p w14:paraId="2653911A" w14:textId="77777777" w:rsidR="004F2B6C" w:rsidRDefault="004F2B6C" w:rsidP="005E30F3">
    <w:pPr>
      <w:pStyle w:val="Header"/>
    </w:pPr>
  </w:p>
  <w:p w14:paraId="254776F4" w14:textId="77777777" w:rsidR="004F2B6C" w:rsidRDefault="004F2B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D8B" w14:textId="59F049E6" w:rsidR="004F2B6C" w:rsidRPr="005E30F3" w:rsidRDefault="004F2B6C" w:rsidP="005E30F3">
    <w:pPr>
      <w:pStyle w:val="Header"/>
    </w:pPr>
    <w:r w:rsidRPr="005E30F3">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AE08" w14:textId="77777777" w:rsidR="00B711BD" w:rsidRDefault="00B71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207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2EA8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085D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A63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7CD5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CF4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58C4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0E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025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12F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E119B"/>
    <w:multiLevelType w:val="hybridMultilevel"/>
    <w:tmpl w:val="502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53459"/>
    <w:multiLevelType w:val="hybridMultilevel"/>
    <w:tmpl w:val="A88ED27C"/>
    <w:lvl w:ilvl="0" w:tplc="667E66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91B11"/>
    <w:multiLevelType w:val="hybridMultilevel"/>
    <w:tmpl w:val="FF60BB66"/>
    <w:lvl w:ilvl="0" w:tplc="FB50CFD8">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8409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B704B5"/>
    <w:multiLevelType w:val="hybridMultilevel"/>
    <w:tmpl w:val="9A48667A"/>
    <w:lvl w:ilvl="0" w:tplc="08E6D81C">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C6D36C2"/>
    <w:multiLevelType w:val="multilevel"/>
    <w:tmpl w:val="9C4A63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94C8A"/>
    <w:multiLevelType w:val="hybridMultilevel"/>
    <w:tmpl w:val="205CCEC2"/>
    <w:lvl w:ilvl="0" w:tplc="093A5206">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10502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E284F"/>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2C61CA"/>
    <w:multiLevelType w:val="hybridMultilevel"/>
    <w:tmpl w:val="B3565E5E"/>
    <w:lvl w:ilvl="0" w:tplc="F586CADE">
      <w:start w:val="1"/>
      <w:numFmt w:val="bullet"/>
      <w:lvlText w:val=""/>
      <w:lvlJc w:val="left"/>
      <w:pPr>
        <w:tabs>
          <w:tab w:val="num" w:pos="4329"/>
        </w:tabs>
        <w:ind w:left="4329" w:hanging="360"/>
      </w:pPr>
      <w:rPr>
        <w:rFonts w:ascii="Wingdings" w:hAnsi="Wingdings" w:hint="default"/>
        <w:sz w:val="20"/>
        <w:szCs w:val="20"/>
      </w:rPr>
    </w:lvl>
    <w:lvl w:ilvl="1" w:tplc="214EFAD6">
      <w:start w:val="1"/>
      <w:numFmt w:val="bullet"/>
      <w:lvlText w:val="o"/>
      <w:lvlJc w:val="left"/>
      <w:pPr>
        <w:tabs>
          <w:tab w:val="num" w:pos="5409"/>
        </w:tabs>
        <w:ind w:left="5409" w:hanging="360"/>
      </w:pPr>
      <w:rPr>
        <w:rFonts w:ascii="Courier New" w:hAnsi="Courier New" w:cs="Symbol" w:hint="default"/>
      </w:rPr>
    </w:lvl>
    <w:lvl w:ilvl="2" w:tplc="B18CC850">
      <w:start w:val="1"/>
      <w:numFmt w:val="bullet"/>
      <w:lvlText w:val=""/>
      <w:lvlJc w:val="left"/>
      <w:pPr>
        <w:tabs>
          <w:tab w:val="num" w:pos="6129"/>
        </w:tabs>
        <w:ind w:left="6129" w:hanging="360"/>
      </w:pPr>
      <w:rPr>
        <w:rFonts w:ascii="Symbol" w:hAnsi="Symbol" w:hint="default"/>
      </w:rPr>
    </w:lvl>
    <w:lvl w:ilvl="3" w:tplc="19925EE4" w:tentative="1">
      <w:start w:val="1"/>
      <w:numFmt w:val="bullet"/>
      <w:lvlText w:val=""/>
      <w:lvlJc w:val="left"/>
      <w:pPr>
        <w:tabs>
          <w:tab w:val="num" w:pos="6849"/>
        </w:tabs>
        <w:ind w:left="6849" w:hanging="360"/>
      </w:pPr>
      <w:rPr>
        <w:rFonts w:ascii="Symbol" w:hAnsi="Symbol" w:hint="default"/>
      </w:rPr>
    </w:lvl>
    <w:lvl w:ilvl="4" w:tplc="B49E95B4" w:tentative="1">
      <w:start w:val="1"/>
      <w:numFmt w:val="bullet"/>
      <w:lvlText w:val="o"/>
      <w:lvlJc w:val="left"/>
      <w:pPr>
        <w:tabs>
          <w:tab w:val="num" w:pos="7569"/>
        </w:tabs>
        <w:ind w:left="7569" w:hanging="360"/>
      </w:pPr>
      <w:rPr>
        <w:rFonts w:ascii="Courier New" w:hAnsi="Courier New" w:cs="Symbol" w:hint="default"/>
      </w:rPr>
    </w:lvl>
    <w:lvl w:ilvl="5" w:tplc="B8AAEC10" w:tentative="1">
      <w:start w:val="1"/>
      <w:numFmt w:val="bullet"/>
      <w:lvlText w:val=""/>
      <w:lvlJc w:val="left"/>
      <w:pPr>
        <w:tabs>
          <w:tab w:val="num" w:pos="8289"/>
        </w:tabs>
        <w:ind w:left="8289" w:hanging="360"/>
      </w:pPr>
      <w:rPr>
        <w:rFonts w:ascii="Wingdings" w:hAnsi="Wingdings" w:hint="default"/>
      </w:rPr>
    </w:lvl>
    <w:lvl w:ilvl="6" w:tplc="E2EC3D48" w:tentative="1">
      <w:start w:val="1"/>
      <w:numFmt w:val="bullet"/>
      <w:lvlText w:val=""/>
      <w:lvlJc w:val="left"/>
      <w:pPr>
        <w:tabs>
          <w:tab w:val="num" w:pos="9009"/>
        </w:tabs>
        <w:ind w:left="9009" w:hanging="360"/>
      </w:pPr>
      <w:rPr>
        <w:rFonts w:ascii="Symbol" w:hAnsi="Symbol" w:hint="default"/>
      </w:rPr>
    </w:lvl>
    <w:lvl w:ilvl="7" w:tplc="462C5F94" w:tentative="1">
      <w:start w:val="1"/>
      <w:numFmt w:val="bullet"/>
      <w:lvlText w:val="o"/>
      <w:lvlJc w:val="left"/>
      <w:pPr>
        <w:tabs>
          <w:tab w:val="num" w:pos="9729"/>
        </w:tabs>
        <w:ind w:left="9729" w:hanging="360"/>
      </w:pPr>
      <w:rPr>
        <w:rFonts w:ascii="Courier New" w:hAnsi="Courier New" w:cs="Symbol" w:hint="default"/>
      </w:rPr>
    </w:lvl>
    <w:lvl w:ilvl="8" w:tplc="2C5AD376" w:tentative="1">
      <w:start w:val="1"/>
      <w:numFmt w:val="bullet"/>
      <w:lvlText w:val=""/>
      <w:lvlJc w:val="left"/>
      <w:pPr>
        <w:tabs>
          <w:tab w:val="num" w:pos="10449"/>
        </w:tabs>
        <w:ind w:left="10449" w:hanging="360"/>
      </w:pPr>
      <w:rPr>
        <w:rFonts w:ascii="Wingdings" w:hAnsi="Wingdings" w:hint="default"/>
      </w:rPr>
    </w:lvl>
  </w:abstractNum>
  <w:abstractNum w:abstractNumId="20" w15:restartNumberingAfterBreak="0">
    <w:nsid w:val="277A281D"/>
    <w:multiLevelType w:val="multilevel"/>
    <w:tmpl w:val="38BA9074"/>
    <w:styleLink w:val="CurrentList3"/>
    <w:lvl w:ilvl="0">
      <w:start w:val="1"/>
      <w:numFmt w:val="bullet"/>
      <w:lvlText w:val=""/>
      <w:lvlJc w:val="left"/>
      <w:pPr>
        <w:ind w:left="36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806EB3"/>
    <w:multiLevelType w:val="hybridMultilevel"/>
    <w:tmpl w:val="38BA9074"/>
    <w:lvl w:ilvl="0" w:tplc="591CF616">
      <w:start w:val="1"/>
      <w:numFmt w:val="bullet"/>
      <w:lvlText w:val=""/>
      <w:lvlJc w:val="left"/>
      <w:pPr>
        <w:ind w:left="360" w:hanging="360"/>
      </w:pPr>
      <w:rPr>
        <w:rFonts w:ascii="Wingdings" w:hAnsi="Wingdings"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F22F34"/>
    <w:multiLevelType w:val="hybridMultilevel"/>
    <w:tmpl w:val="113C6C2C"/>
    <w:lvl w:ilvl="0" w:tplc="3DB00940">
      <w:start w:val="1"/>
      <w:numFmt w:val="bullet"/>
      <w:lvlText w:val=""/>
      <w:lvlJc w:val="left"/>
      <w:pPr>
        <w:ind w:left="360" w:hanging="360"/>
      </w:pPr>
      <w:rPr>
        <w:rFonts w:ascii="Wingdings" w:hAnsi="Wingding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5535D0"/>
    <w:multiLevelType w:val="hybridMultilevel"/>
    <w:tmpl w:val="7BD28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6D96BC2"/>
    <w:multiLevelType w:val="hybridMultilevel"/>
    <w:tmpl w:val="81D0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BE2E55"/>
    <w:multiLevelType w:val="hybridMultilevel"/>
    <w:tmpl w:val="83E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D0DF8"/>
    <w:multiLevelType w:val="hybridMultilevel"/>
    <w:tmpl w:val="077A3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729D8"/>
    <w:multiLevelType w:val="hybridMultilevel"/>
    <w:tmpl w:val="0BC6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DD30FF"/>
    <w:multiLevelType w:val="hybridMultilevel"/>
    <w:tmpl w:val="4C0CE112"/>
    <w:lvl w:ilvl="0" w:tplc="2A5C6B0A">
      <w:start w:val="1"/>
      <w:numFmt w:val="bullet"/>
      <w:pStyle w:val="ListBulletCaptionStro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1743A"/>
    <w:multiLevelType w:val="hybridMultilevel"/>
    <w:tmpl w:val="2DC677D6"/>
    <w:lvl w:ilvl="0" w:tplc="4B6CF924">
      <w:start w:val="1"/>
      <w:numFmt w:val="bullet"/>
      <w:pStyle w:val="List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76679"/>
    <w:multiLevelType w:val="multilevel"/>
    <w:tmpl w:val="4EB4E22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i w:val="0"/>
      </w:r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3F3A46"/>
    <w:multiLevelType w:val="hybridMultilevel"/>
    <w:tmpl w:val="7C32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07FA1"/>
    <w:multiLevelType w:val="hybridMultilevel"/>
    <w:tmpl w:val="9C4A630C"/>
    <w:lvl w:ilvl="0" w:tplc="30AA4DC4">
      <w:start w:val="1"/>
      <w:numFmt w:val="bullet"/>
      <w:pStyle w:val="ListBulletLoos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02047"/>
    <w:multiLevelType w:val="hybridMultilevel"/>
    <w:tmpl w:val="C6EA8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552A2A"/>
    <w:multiLevelType w:val="hybridMultilevel"/>
    <w:tmpl w:val="92B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A6062"/>
    <w:multiLevelType w:val="hybridMultilevel"/>
    <w:tmpl w:val="BD144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4C36B88"/>
    <w:multiLevelType w:val="hybridMultilevel"/>
    <w:tmpl w:val="F92CCC34"/>
    <w:lvl w:ilvl="0" w:tplc="08090001">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F6654"/>
    <w:multiLevelType w:val="hybridMultilevel"/>
    <w:tmpl w:val="EF68F676"/>
    <w:lvl w:ilvl="0" w:tplc="8FE4BB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0809C6"/>
    <w:multiLevelType w:val="hybridMultilevel"/>
    <w:tmpl w:val="4306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328A8"/>
    <w:multiLevelType w:val="hybridMultilevel"/>
    <w:tmpl w:val="E53E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6F5889"/>
    <w:multiLevelType w:val="hybridMultilevel"/>
    <w:tmpl w:val="77B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44730"/>
    <w:multiLevelType w:val="hybridMultilevel"/>
    <w:tmpl w:val="9298622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341449F"/>
    <w:multiLevelType w:val="hybridMultilevel"/>
    <w:tmpl w:val="B3845B54"/>
    <w:lvl w:ilvl="0" w:tplc="EADCA56E">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D12E7A"/>
    <w:multiLevelType w:val="multilevel"/>
    <w:tmpl w:val="FF60BB66"/>
    <w:styleLink w:val="CurrentList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05388A"/>
    <w:multiLevelType w:val="hybridMultilevel"/>
    <w:tmpl w:val="394A3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394DA1"/>
    <w:multiLevelType w:val="hybridMultilevel"/>
    <w:tmpl w:val="AD20101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9204013">
    <w:abstractNumId w:val="32"/>
  </w:num>
  <w:num w:numId="2" w16cid:durableId="514854063">
    <w:abstractNumId w:val="13"/>
  </w:num>
  <w:num w:numId="3" w16cid:durableId="1110664657">
    <w:abstractNumId w:val="30"/>
  </w:num>
  <w:num w:numId="4" w16cid:durableId="1536309281">
    <w:abstractNumId w:val="11"/>
  </w:num>
  <w:num w:numId="5" w16cid:durableId="1191187802">
    <w:abstractNumId w:val="19"/>
  </w:num>
  <w:num w:numId="6" w16cid:durableId="1115052576">
    <w:abstractNumId w:val="36"/>
  </w:num>
  <w:num w:numId="7" w16cid:durableId="104734845">
    <w:abstractNumId w:val="33"/>
  </w:num>
  <w:num w:numId="8" w16cid:durableId="1587419499">
    <w:abstractNumId w:val="28"/>
  </w:num>
  <w:num w:numId="9" w16cid:durableId="843933212">
    <w:abstractNumId w:val="17"/>
  </w:num>
  <w:num w:numId="10" w16cid:durableId="2122603158">
    <w:abstractNumId w:val="30"/>
  </w:num>
  <w:num w:numId="11" w16cid:durableId="1647247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7407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598182">
    <w:abstractNumId w:val="34"/>
  </w:num>
  <w:num w:numId="14" w16cid:durableId="1366635438">
    <w:abstractNumId w:val="26"/>
  </w:num>
  <w:num w:numId="15" w16cid:durableId="408889582">
    <w:abstractNumId w:val="24"/>
  </w:num>
  <w:num w:numId="16" w16cid:durableId="1530218197">
    <w:abstractNumId w:val="25"/>
  </w:num>
  <w:num w:numId="17" w16cid:durableId="1990136466">
    <w:abstractNumId w:val="31"/>
  </w:num>
  <w:num w:numId="18" w16cid:durableId="983896814">
    <w:abstractNumId w:val="44"/>
  </w:num>
  <w:num w:numId="19" w16cid:durableId="958607627">
    <w:abstractNumId w:val="27"/>
  </w:num>
  <w:num w:numId="20" w16cid:durableId="562565403">
    <w:abstractNumId w:val="7"/>
  </w:num>
  <w:num w:numId="21" w16cid:durableId="408164033">
    <w:abstractNumId w:val="6"/>
  </w:num>
  <w:num w:numId="22" w16cid:durableId="1845046336">
    <w:abstractNumId w:val="5"/>
  </w:num>
  <w:num w:numId="23" w16cid:durableId="675571900">
    <w:abstractNumId w:val="4"/>
  </w:num>
  <w:num w:numId="24" w16cid:durableId="1579243206">
    <w:abstractNumId w:val="8"/>
  </w:num>
  <w:num w:numId="25" w16cid:durableId="1590849917">
    <w:abstractNumId w:val="3"/>
  </w:num>
  <w:num w:numId="26" w16cid:durableId="252129869">
    <w:abstractNumId w:val="2"/>
  </w:num>
  <w:num w:numId="27" w16cid:durableId="288245013">
    <w:abstractNumId w:val="1"/>
  </w:num>
  <w:num w:numId="28" w16cid:durableId="2045598301">
    <w:abstractNumId w:val="0"/>
  </w:num>
  <w:num w:numId="29" w16cid:durableId="1643609351">
    <w:abstractNumId w:val="40"/>
  </w:num>
  <w:num w:numId="30" w16cid:durableId="30764985">
    <w:abstractNumId w:val="9"/>
  </w:num>
  <w:num w:numId="31" w16cid:durableId="1888640995">
    <w:abstractNumId w:val="37"/>
  </w:num>
  <w:num w:numId="32" w16cid:durableId="770079432">
    <w:abstractNumId w:val="30"/>
  </w:num>
  <w:num w:numId="33" w16cid:durableId="952129495">
    <w:abstractNumId w:val="15"/>
  </w:num>
  <w:num w:numId="34" w16cid:durableId="1497190858">
    <w:abstractNumId w:val="12"/>
  </w:num>
  <w:num w:numId="35" w16cid:durableId="1146707872">
    <w:abstractNumId w:val="43"/>
  </w:num>
  <w:num w:numId="36" w16cid:durableId="1830250033">
    <w:abstractNumId w:val="21"/>
  </w:num>
  <w:num w:numId="37" w16cid:durableId="671302477">
    <w:abstractNumId w:val="20"/>
  </w:num>
  <w:num w:numId="38" w16cid:durableId="770274283">
    <w:abstractNumId w:val="22"/>
  </w:num>
  <w:num w:numId="39" w16cid:durableId="641547095">
    <w:abstractNumId w:val="18"/>
  </w:num>
  <w:num w:numId="40" w16cid:durableId="689257203">
    <w:abstractNumId w:val="29"/>
  </w:num>
  <w:num w:numId="41" w16cid:durableId="1676956004">
    <w:abstractNumId w:val="42"/>
  </w:num>
  <w:num w:numId="42" w16cid:durableId="1271743823">
    <w:abstractNumId w:val="14"/>
  </w:num>
  <w:num w:numId="43" w16cid:durableId="725834120">
    <w:abstractNumId w:val="16"/>
  </w:num>
  <w:num w:numId="44" w16cid:durableId="1746877871">
    <w:abstractNumId w:val="41"/>
  </w:num>
  <w:num w:numId="45" w16cid:durableId="1796437120">
    <w:abstractNumId w:val="45"/>
  </w:num>
  <w:num w:numId="46" w16cid:durableId="117145341">
    <w:abstractNumId w:val="10"/>
  </w:num>
  <w:num w:numId="47" w16cid:durableId="599412357">
    <w:abstractNumId w:val="38"/>
  </w:num>
  <w:num w:numId="48" w16cid:durableId="1144080715">
    <w:abstractNumId w:val="39"/>
  </w:num>
  <w:num w:numId="49" w16cid:durableId="1149247265">
    <w:abstractNumId w:val="35"/>
  </w:num>
  <w:num w:numId="50" w16cid:durableId="1620070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72"/>
    <w:rsid w:val="0000374A"/>
    <w:rsid w:val="00012C0E"/>
    <w:rsid w:val="00013FD9"/>
    <w:rsid w:val="000143BC"/>
    <w:rsid w:val="00015CC8"/>
    <w:rsid w:val="0003483B"/>
    <w:rsid w:val="00046DF8"/>
    <w:rsid w:val="0005133E"/>
    <w:rsid w:val="00055CBB"/>
    <w:rsid w:val="00061F83"/>
    <w:rsid w:val="000620C5"/>
    <w:rsid w:val="00066B7E"/>
    <w:rsid w:val="00066D2B"/>
    <w:rsid w:val="00071CC7"/>
    <w:rsid w:val="0007539E"/>
    <w:rsid w:val="0007648C"/>
    <w:rsid w:val="00080063"/>
    <w:rsid w:val="0008107F"/>
    <w:rsid w:val="0009072A"/>
    <w:rsid w:val="00091E81"/>
    <w:rsid w:val="000A176E"/>
    <w:rsid w:val="000E413B"/>
    <w:rsid w:val="000F3E0F"/>
    <w:rsid w:val="000F7450"/>
    <w:rsid w:val="001014E8"/>
    <w:rsid w:val="001112B1"/>
    <w:rsid w:val="00120F1E"/>
    <w:rsid w:val="00133E2E"/>
    <w:rsid w:val="0017242A"/>
    <w:rsid w:val="001770F6"/>
    <w:rsid w:val="00186718"/>
    <w:rsid w:val="00191810"/>
    <w:rsid w:val="001B4648"/>
    <w:rsid w:val="001B7BFB"/>
    <w:rsid w:val="001C5C3F"/>
    <w:rsid w:val="001C7FD3"/>
    <w:rsid w:val="001E1DBB"/>
    <w:rsid w:val="00211196"/>
    <w:rsid w:val="00212D84"/>
    <w:rsid w:val="0024299D"/>
    <w:rsid w:val="00246B2F"/>
    <w:rsid w:val="0025037C"/>
    <w:rsid w:val="00256FCF"/>
    <w:rsid w:val="0026336A"/>
    <w:rsid w:val="00263911"/>
    <w:rsid w:val="0027090A"/>
    <w:rsid w:val="00273A6E"/>
    <w:rsid w:val="00284A89"/>
    <w:rsid w:val="00286EDB"/>
    <w:rsid w:val="002B0B2B"/>
    <w:rsid w:val="002B2890"/>
    <w:rsid w:val="002C5685"/>
    <w:rsid w:val="002D15B5"/>
    <w:rsid w:val="002D369E"/>
    <w:rsid w:val="002D55EE"/>
    <w:rsid w:val="002F1C8E"/>
    <w:rsid w:val="002F514A"/>
    <w:rsid w:val="00312F41"/>
    <w:rsid w:val="00337188"/>
    <w:rsid w:val="0035197A"/>
    <w:rsid w:val="0038143C"/>
    <w:rsid w:val="00381FA4"/>
    <w:rsid w:val="00397735"/>
    <w:rsid w:val="003A6BE2"/>
    <w:rsid w:val="003B6FF4"/>
    <w:rsid w:val="003B7850"/>
    <w:rsid w:val="003C1989"/>
    <w:rsid w:val="003C491F"/>
    <w:rsid w:val="003C4D95"/>
    <w:rsid w:val="003C6CE7"/>
    <w:rsid w:val="003D5442"/>
    <w:rsid w:val="003D6103"/>
    <w:rsid w:val="003F01F9"/>
    <w:rsid w:val="003F31BF"/>
    <w:rsid w:val="003F3BEA"/>
    <w:rsid w:val="00460ACA"/>
    <w:rsid w:val="00476172"/>
    <w:rsid w:val="00482E62"/>
    <w:rsid w:val="00493C3C"/>
    <w:rsid w:val="004A3C35"/>
    <w:rsid w:val="004A4530"/>
    <w:rsid w:val="004A47CF"/>
    <w:rsid w:val="004A6499"/>
    <w:rsid w:val="004B22B9"/>
    <w:rsid w:val="004C1DFD"/>
    <w:rsid w:val="004C2A2B"/>
    <w:rsid w:val="004F2B6C"/>
    <w:rsid w:val="004F67E0"/>
    <w:rsid w:val="00527569"/>
    <w:rsid w:val="00532704"/>
    <w:rsid w:val="00535547"/>
    <w:rsid w:val="005373E9"/>
    <w:rsid w:val="00545D55"/>
    <w:rsid w:val="00562384"/>
    <w:rsid w:val="0056394B"/>
    <w:rsid w:val="00577013"/>
    <w:rsid w:val="00592959"/>
    <w:rsid w:val="00592C0B"/>
    <w:rsid w:val="00594188"/>
    <w:rsid w:val="005951B5"/>
    <w:rsid w:val="00597D08"/>
    <w:rsid w:val="005A0F45"/>
    <w:rsid w:val="005A43B9"/>
    <w:rsid w:val="005A7762"/>
    <w:rsid w:val="005C3A5B"/>
    <w:rsid w:val="005C4895"/>
    <w:rsid w:val="005C67C8"/>
    <w:rsid w:val="005D1C01"/>
    <w:rsid w:val="005D5FC6"/>
    <w:rsid w:val="005E30F3"/>
    <w:rsid w:val="005E5983"/>
    <w:rsid w:val="005E62FB"/>
    <w:rsid w:val="005F0374"/>
    <w:rsid w:val="005F7590"/>
    <w:rsid w:val="00605341"/>
    <w:rsid w:val="0060770E"/>
    <w:rsid w:val="00640FB6"/>
    <w:rsid w:val="006449A1"/>
    <w:rsid w:val="00646648"/>
    <w:rsid w:val="00646753"/>
    <w:rsid w:val="00652DBB"/>
    <w:rsid w:val="006539BD"/>
    <w:rsid w:val="0066579B"/>
    <w:rsid w:val="00673363"/>
    <w:rsid w:val="00682365"/>
    <w:rsid w:val="00682ECF"/>
    <w:rsid w:val="00684A64"/>
    <w:rsid w:val="00685C61"/>
    <w:rsid w:val="006B1505"/>
    <w:rsid w:val="006B2258"/>
    <w:rsid w:val="006C0B00"/>
    <w:rsid w:val="006C43DD"/>
    <w:rsid w:val="006D15E7"/>
    <w:rsid w:val="006E6035"/>
    <w:rsid w:val="006E6043"/>
    <w:rsid w:val="006F3640"/>
    <w:rsid w:val="00710EA4"/>
    <w:rsid w:val="00724D06"/>
    <w:rsid w:val="0077358E"/>
    <w:rsid w:val="007802E4"/>
    <w:rsid w:val="00791F39"/>
    <w:rsid w:val="007C40C0"/>
    <w:rsid w:val="007D51C9"/>
    <w:rsid w:val="007E17E2"/>
    <w:rsid w:val="007F4138"/>
    <w:rsid w:val="007F41A7"/>
    <w:rsid w:val="008075F6"/>
    <w:rsid w:val="00811718"/>
    <w:rsid w:val="00821100"/>
    <w:rsid w:val="008359A1"/>
    <w:rsid w:val="00860928"/>
    <w:rsid w:val="0086490B"/>
    <w:rsid w:val="008651DB"/>
    <w:rsid w:val="008771E9"/>
    <w:rsid w:val="00887BC7"/>
    <w:rsid w:val="008A03A2"/>
    <w:rsid w:val="008A34B6"/>
    <w:rsid w:val="008A466E"/>
    <w:rsid w:val="008C12D5"/>
    <w:rsid w:val="008C46A0"/>
    <w:rsid w:val="008C626C"/>
    <w:rsid w:val="008D3E84"/>
    <w:rsid w:val="008E54F5"/>
    <w:rsid w:val="008E583B"/>
    <w:rsid w:val="008F3323"/>
    <w:rsid w:val="008F5559"/>
    <w:rsid w:val="008F593B"/>
    <w:rsid w:val="00903555"/>
    <w:rsid w:val="0090702B"/>
    <w:rsid w:val="00920FB9"/>
    <w:rsid w:val="00924EA2"/>
    <w:rsid w:val="00926862"/>
    <w:rsid w:val="00932A27"/>
    <w:rsid w:val="00961CAC"/>
    <w:rsid w:val="00985E75"/>
    <w:rsid w:val="0099197E"/>
    <w:rsid w:val="00993291"/>
    <w:rsid w:val="009B02E1"/>
    <w:rsid w:val="009C0ECC"/>
    <w:rsid w:val="009C6221"/>
    <w:rsid w:val="009C7F44"/>
    <w:rsid w:val="009D37F4"/>
    <w:rsid w:val="00A05304"/>
    <w:rsid w:val="00A40B8E"/>
    <w:rsid w:val="00A50B51"/>
    <w:rsid w:val="00A54063"/>
    <w:rsid w:val="00A54746"/>
    <w:rsid w:val="00A64012"/>
    <w:rsid w:val="00A72567"/>
    <w:rsid w:val="00A73DA2"/>
    <w:rsid w:val="00A81A1B"/>
    <w:rsid w:val="00A832AB"/>
    <w:rsid w:val="00A95ACB"/>
    <w:rsid w:val="00AA087E"/>
    <w:rsid w:val="00AA47A4"/>
    <w:rsid w:val="00AC206F"/>
    <w:rsid w:val="00AE6D0E"/>
    <w:rsid w:val="00AF5BF8"/>
    <w:rsid w:val="00B24A5E"/>
    <w:rsid w:val="00B27D9D"/>
    <w:rsid w:val="00B323E6"/>
    <w:rsid w:val="00B33DDD"/>
    <w:rsid w:val="00B40541"/>
    <w:rsid w:val="00B45B9A"/>
    <w:rsid w:val="00B57A24"/>
    <w:rsid w:val="00B60DA8"/>
    <w:rsid w:val="00B63C5E"/>
    <w:rsid w:val="00B711BD"/>
    <w:rsid w:val="00B819BB"/>
    <w:rsid w:val="00B82476"/>
    <w:rsid w:val="00B83886"/>
    <w:rsid w:val="00B86CF9"/>
    <w:rsid w:val="00BA696D"/>
    <w:rsid w:val="00BB61F5"/>
    <w:rsid w:val="00BC1062"/>
    <w:rsid w:val="00BD482E"/>
    <w:rsid w:val="00BE4A0A"/>
    <w:rsid w:val="00BE7FF2"/>
    <w:rsid w:val="00BF0F2B"/>
    <w:rsid w:val="00BF6704"/>
    <w:rsid w:val="00C055CA"/>
    <w:rsid w:val="00C05EC0"/>
    <w:rsid w:val="00C2160B"/>
    <w:rsid w:val="00C22E9F"/>
    <w:rsid w:val="00C27628"/>
    <w:rsid w:val="00C30EC7"/>
    <w:rsid w:val="00C31D18"/>
    <w:rsid w:val="00C355BE"/>
    <w:rsid w:val="00C405B0"/>
    <w:rsid w:val="00C8657C"/>
    <w:rsid w:val="00CA6F1C"/>
    <w:rsid w:val="00CB450B"/>
    <w:rsid w:val="00CD1A3A"/>
    <w:rsid w:val="00CF139F"/>
    <w:rsid w:val="00D00C72"/>
    <w:rsid w:val="00D072CB"/>
    <w:rsid w:val="00D101D2"/>
    <w:rsid w:val="00D17D97"/>
    <w:rsid w:val="00D360FB"/>
    <w:rsid w:val="00D4175F"/>
    <w:rsid w:val="00D4749C"/>
    <w:rsid w:val="00D50CE0"/>
    <w:rsid w:val="00D51282"/>
    <w:rsid w:val="00D61861"/>
    <w:rsid w:val="00D61FFA"/>
    <w:rsid w:val="00D64732"/>
    <w:rsid w:val="00D73238"/>
    <w:rsid w:val="00D75245"/>
    <w:rsid w:val="00D82239"/>
    <w:rsid w:val="00D83488"/>
    <w:rsid w:val="00D87A73"/>
    <w:rsid w:val="00D938E0"/>
    <w:rsid w:val="00D943E2"/>
    <w:rsid w:val="00DA445C"/>
    <w:rsid w:val="00DA6A89"/>
    <w:rsid w:val="00DA6B5C"/>
    <w:rsid w:val="00DB00A6"/>
    <w:rsid w:val="00DB4F29"/>
    <w:rsid w:val="00DB551B"/>
    <w:rsid w:val="00DB7E57"/>
    <w:rsid w:val="00DC7C0B"/>
    <w:rsid w:val="00DE05DE"/>
    <w:rsid w:val="00DF1564"/>
    <w:rsid w:val="00DF1CB9"/>
    <w:rsid w:val="00E05957"/>
    <w:rsid w:val="00E32D33"/>
    <w:rsid w:val="00E40EA1"/>
    <w:rsid w:val="00E46F3F"/>
    <w:rsid w:val="00E5154F"/>
    <w:rsid w:val="00E54E06"/>
    <w:rsid w:val="00E65DE3"/>
    <w:rsid w:val="00E72636"/>
    <w:rsid w:val="00E74058"/>
    <w:rsid w:val="00E74152"/>
    <w:rsid w:val="00E7763E"/>
    <w:rsid w:val="00E8262C"/>
    <w:rsid w:val="00E87AFD"/>
    <w:rsid w:val="00E976AD"/>
    <w:rsid w:val="00EA1D55"/>
    <w:rsid w:val="00EA6DB2"/>
    <w:rsid w:val="00EB17A5"/>
    <w:rsid w:val="00EB465F"/>
    <w:rsid w:val="00EB721B"/>
    <w:rsid w:val="00EB7B79"/>
    <w:rsid w:val="00ED3DAF"/>
    <w:rsid w:val="00ED7530"/>
    <w:rsid w:val="00ED7F1C"/>
    <w:rsid w:val="00EE545E"/>
    <w:rsid w:val="00F03201"/>
    <w:rsid w:val="00F109B0"/>
    <w:rsid w:val="00F10E4D"/>
    <w:rsid w:val="00F12327"/>
    <w:rsid w:val="00F13FAD"/>
    <w:rsid w:val="00F421AC"/>
    <w:rsid w:val="00F437F8"/>
    <w:rsid w:val="00F50CD0"/>
    <w:rsid w:val="00F57422"/>
    <w:rsid w:val="00F60134"/>
    <w:rsid w:val="00F61334"/>
    <w:rsid w:val="00F86D0A"/>
    <w:rsid w:val="00F97184"/>
    <w:rsid w:val="00FB3D93"/>
    <w:rsid w:val="00FC41ED"/>
    <w:rsid w:val="00FC4CD2"/>
    <w:rsid w:val="00FE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F4E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lack Body Copy"/>
    <w:qFormat/>
    <w:rsid w:val="005E30F3"/>
    <w:pPr>
      <w:spacing w:line="276" w:lineRule="auto"/>
    </w:pPr>
    <w:rPr>
      <w:rFonts w:asciiTheme="minorHAnsi" w:hAnsiTheme="minorHAnsi"/>
      <w:sz w:val="20"/>
    </w:rPr>
  </w:style>
  <w:style w:type="paragraph" w:styleId="Heading1">
    <w:name w:val="heading 1"/>
    <w:aliases w:val="Section Header"/>
    <w:basedOn w:val="Normal"/>
    <w:next w:val="BodyText"/>
    <w:link w:val="Heading1Char"/>
    <w:uiPriority w:val="9"/>
    <w:qFormat/>
    <w:rsid w:val="006539BD"/>
    <w:pPr>
      <w:keepNext/>
      <w:keepLines/>
      <w:numPr>
        <w:numId w:val="3"/>
      </w:numPr>
      <w:spacing w:line="360" w:lineRule="auto"/>
      <w:outlineLvl w:val="0"/>
    </w:pPr>
    <w:rPr>
      <w:rFonts w:asciiTheme="majorHAnsi" w:eastAsiaTheme="majorEastAsia" w:hAnsiTheme="majorHAnsi" w:cstheme="majorBidi"/>
      <w:b/>
      <w:bCs/>
      <w:color w:val="000000"/>
      <w:sz w:val="36"/>
      <w:szCs w:val="36"/>
    </w:rPr>
  </w:style>
  <w:style w:type="paragraph" w:styleId="Heading2">
    <w:name w:val="heading 2"/>
    <w:basedOn w:val="Normal"/>
    <w:next w:val="BodyText"/>
    <w:link w:val="Heading2Char"/>
    <w:uiPriority w:val="9"/>
    <w:unhideWhenUsed/>
    <w:qFormat/>
    <w:rsid w:val="006539BD"/>
    <w:pPr>
      <w:keepNext/>
      <w:numPr>
        <w:ilvl w:val="1"/>
        <w:numId w:val="3"/>
      </w:numPr>
      <w:spacing w:before="180" w:line="360" w:lineRule="auto"/>
      <w:ind w:left="576" w:hanging="576"/>
      <w:jc w:val="both"/>
      <w:outlineLvl w:val="1"/>
    </w:pPr>
    <w:rPr>
      <w:rFonts w:asciiTheme="majorHAnsi" w:eastAsiaTheme="majorEastAsia" w:hAnsiTheme="majorHAnsi" w:cstheme="majorBidi"/>
      <w:b/>
      <w:bCs/>
      <w:color w:val="000000"/>
      <w:sz w:val="26"/>
      <w:szCs w:val="26"/>
    </w:rPr>
  </w:style>
  <w:style w:type="paragraph" w:styleId="Heading3">
    <w:name w:val="heading 3"/>
    <w:basedOn w:val="Heading2"/>
    <w:next w:val="BodyText3"/>
    <w:link w:val="Heading3Char"/>
    <w:uiPriority w:val="9"/>
    <w:unhideWhenUsed/>
    <w:qFormat/>
    <w:rsid w:val="006539BD"/>
    <w:pPr>
      <w:numPr>
        <w:ilvl w:val="2"/>
      </w:numPr>
      <w:ind w:left="1170" w:hanging="774"/>
      <w:outlineLvl w:val="2"/>
    </w:pPr>
    <w:rPr>
      <w:sz w:val="22"/>
      <w:szCs w:val="22"/>
    </w:rPr>
  </w:style>
  <w:style w:type="paragraph" w:styleId="Heading4">
    <w:name w:val="heading 4"/>
    <w:basedOn w:val="Heading3"/>
    <w:next w:val="BodyText4"/>
    <w:link w:val="Heading4Char"/>
    <w:uiPriority w:val="9"/>
    <w:unhideWhenUsed/>
    <w:qFormat/>
    <w:rsid w:val="005D5FC6"/>
    <w:pPr>
      <w:numPr>
        <w:ilvl w:val="3"/>
      </w:numPr>
      <w:ind w:left="1620" w:hanging="918"/>
      <w:jc w:val="left"/>
      <w:outlineLvl w:val="3"/>
    </w:pPr>
    <w:rPr>
      <w:sz w:val="20"/>
      <w:szCs w:val="20"/>
    </w:rPr>
  </w:style>
  <w:style w:type="paragraph" w:styleId="Heading5">
    <w:name w:val="heading 5"/>
    <w:basedOn w:val="Heading4"/>
    <w:next w:val="BodyText5"/>
    <w:link w:val="Heading5Char"/>
    <w:uiPriority w:val="9"/>
    <w:unhideWhenUsed/>
    <w:qFormat/>
    <w:rsid w:val="005D5FC6"/>
    <w:pPr>
      <w:numPr>
        <w:ilvl w:val="4"/>
      </w:numPr>
      <w:ind w:left="1710"/>
      <w:outlineLvl w:val="4"/>
    </w:pPr>
    <w:rPr>
      <w:b w:val="0"/>
    </w:rPr>
  </w:style>
  <w:style w:type="paragraph" w:styleId="Heading6">
    <w:name w:val="heading 6"/>
    <w:basedOn w:val="Heading5"/>
    <w:next w:val="BodyText6"/>
    <w:link w:val="Heading6Char"/>
    <w:uiPriority w:val="9"/>
    <w:unhideWhenUsed/>
    <w:qFormat/>
    <w:rsid w:val="005D5FC6"/>
    <w:pPr>
      <w:numPr>
        <w:ilvl w:val="5"/>
      </w:numPr>
      <w:ind w:left="2430" w:hanging="1206"/>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90"/>
    <w:rPr>
      <w:rFonts w:ascii="Tahoma" w:hAnsi="Tahoma" w:cs="Tahoma"/>
      <w:sz w:val="16"/>
      <w:szCs w:val="16"/>
    </w:rPr>
  </w:style>
  <w:style w:type="paragraph" w:styleId="Title">
    <w:name w:val="Title"/>
    <w:basedOn w:val="Normal"/>
    <w:next w:val="Normal"/>
    <w:link w:val="TitleChar"/>
    <w:uiPriority w:val="10"/>
    <w:qFormat/>
    <w:rsid w:val="006539BD"/>
    <w:pPr>
      <w:spacing w:after="300" w:line="240" w:lineRule="auto"/>
      <w:contextualSpacing/>
    </w:pPr>
    <w:rPr>
      <w:rFonts w:eastAsiaTheme="majorEastAsia" w:cstheme="majorBidi"/>
      <w:b/>
      <w:bCs/>
      <w:color w:val="000000"/>
      <w:spacing w:val="5"/>
      <w:kern w:val="28"/>
      <w:sz w:val="48"/>
      <w:szCs w:val="48"/>
    </w:rPr>
  </w:style>
  <w:style w:type="character" w:customStyle="1" w:styleId="TitleChar">
    <w:name w:val="Title Char"/>
    <w:basedOn w:val="DefaultParagraphFont"/>
    <w:link w:val="Title"/>
    <w:uiPriority w:val="10"/>
    <w:rsid w:val="006539BD"/>
    <w:rPr>
      <w:rFonts w:asciiTheme="minorHAnsi" w:eastAsiaTheme="majorEastAsia" w:hAnsiTheme="minorHAnsi" w:cstheme="majorBidi"/>
      <w:b/>
      <w:bCs/>
      <w:color w:val="000000"/>
      <w:spacing w:val="5"/>
      <w:kern w:val="28"/>
      <w:sz w:val="48"/>
      <w:szCs w:val="48"/>
    </w:rPr>
  </w:style>
  <w:style w:type="paragraph" w:styleId="NoSpacing">
    <w:name w:val="No Spacing"/>
    <w:uiPriority w:val="1"/>
    <w:rsid w:val="00AE6D0E"/>
  </w:style>
  <w:style w:type="character" w:customStyle="1" w:styleId="Heading1Char">
    <w:name w:val="Heading 1 Char"/>
    <w:aliases w:val="Section Header Char"/>
    <w:basedOn w:val="DefaultParagraphFont"/>
    <w:link w:val="Heading1"/>
    <w:uiPriority w:val="9"/>
    <w:rsid w:val="006539BD"/>
    <w:rPr>
      <w:rFonts w:eastAsiaTheme="majorEastAsia" w:cstheme="majorBidi"/>
      <w:b/>
      <w:bCs/>
      <w:color w:val="000000"/>
      <w:sz w:val="36"/>
      <w:szCs w:val="36"/>
    </w:rPr>
  </w:style>
  <w:style w:type="paragraph" w:styleId="Footer">
    <w:name w:val="footer"/>
    <w:basedOn w:val="Normal"/>
    <w:link w:val="FooterChar"/>
    <w:uiPriority w:val="99"/>
    <w:unhideWhenUsed/>
    <w:rsid w:val="00DB4F29"/>
    <w:pPr>
      <w:tabs>
        <w:tab w:val="right" w:pos="8640"/>
      </w:tabs>
      <w:jc w:val="both"/>
    </w:pPr>
    <w:rPr>
      <w:color w:val="4D4D4D" w:themeColor="accent4"/>
      <w:sz w:val="18"/>
      <w:szCs w:val="18"/>
    </w:rPr>
  </w:style>
  <w:style w:type="character" w:customStyle="1" w:styleId="FooterChar">
    <w:name w:val="Footer Char"/>
    <w:basedOn w:val="DefaultParagraphFont"/>
    <w:link w:val="Footer"/>
    <w:uiPriority w:val="99"/>
    <w:rsid w:val="00DB4F29"/>
    <w:rPr>
      <w:rFonts w:asciiTheme="minorHAnsi" w:hAnsiTheme="minorHAnsi"/>
      <w:color w:val="4D4D4D" w:themeColor="accent4"/>
      <w:sz w:val="18"/>
      <w:szCs w:val="18"/>
    </w:rPr>
  </w:style>
  <w:style w:type="character" w:styleId="PageNumber">
    <w:name w:val="page number"/>
    <w:basedOn w:val="DefaultParagraphFont"/>
    <w:uiPriority w:val="99"/>
    <w:semiHidden/>
    <w:unhideWhenUsed/>
    <w:rsid w:val="00A73DA2"/>
  </w:style>
  <w:style w:type="paragraph" w:styleId="Header">
    <w:name w:val="header"/>
    <w:basedOn w:val="Normal"/>
    <w:link w:val="HeaderChar"/>
    <w:uiPriority w:val="99"/>
    <w:unhideWhenUsed/>
    <w:rsid w:val="005E30F3"/>
    <w:pPr>
      <w:tabs>
        <w:tab w:val="right" w:pos="8640"/>
      </w:tabs>
      <w:spacing w:line="240" w:lineRule="auto"/>
      <w:jc w:val="right"/>
    </w:pPr>
  </w:style>
  <w:style w:type="character" w:customStyle="1" w:styleId="HeaderChar">
    <w:name w:val="Header Char"/>
    <w:basedOn w:val="DefaultParagraphFont"/>
    <w:link w:val="Header"/>
    <w:uiPriority w:val="99"/>
    <w:rsid w:val="005E30F3"/>
    <w:rPr>
      <w:rFonts w:asciiTheme="minorHAnsi" w:hAnsiTheme="minorHAnsi"/>
      <w:sz w:val="20"/>
    </w:rPr>
  </w:style>
  <w:style w:type="character" w:customStyle="1" w:styleId="Heading2Char">
    <w:name w:val="Heading 2 Char"/>
    <w:basedOn w:val="DefaultParagraphFont"/>
    <w:link w:val="Heading2"/>
    <w:uiPriority w:val="9"/>
    <w:rsid w:val="006539BD"/>
    <w:rPr>
      <w:rFonts w:eastAsiaTheme="majorEastAsia" w:cstheme="majorBidi"/>
      <w:b/>
      <w:bCs/>
      <w:color w:val="000000"/>
      <w:sz w:val="26"/>
      <w:szCs w:val="26"/>
    </w:rPr>
  </w:style>
  <w:style w:type="paragraph" w:styleId="ListParagraph">
    <w:name w:val="List Paragraph"/>
    <w:basedOn w:val="Normal"/>
    <w:link w:val="ListParagraphChar"/>
    <w:uiPriority w:val="34"/>
    <w:qFormat/>
    <w:rsid w:val="00246B2F"/>
    <w:pPr>
      <w:ind w:left="720"/>
      <w:contextualSpacing/>
    </w:pPr>
  </w:style>
  <w:style w:type="character" w:styleId="Strong">
    <w:name w:val="Strong"/>
    <w:basedOn w:val="DefaultParagraphFont"/>
    <w:uiPriority w:val="22"/>
    <w:qFormat/>
    <w:rsid w:val="00D75245"/>
    <w:rPr>
      <w:b/>
      <w:bCs/>
    </w:rPr>
  </w:style>
  <w:style w:type="table" w:styleId="TableGrid">
    <w:name w:val="Table Grid"/>
    <w:basedOn w:val="TableNormal"/>
    <w:uiPriority w:val="39"/>
    <w:rsid w:val="00BE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BE7FF2"/>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paragraph" w:styleId="TOCHeading">
    <w:name w:val="TOC Heading"/>
    <w:basedOn w:val="Subtitle"/>
    <w:next w:val="Normal"/>
    <w:uiPriority w:val="39"/>
    <w:unhideWhenUsed/>
    <w:qFormat/>
    <w:rsid w:val="00D00C72"/>
    <w:rPr>
      <w:caps w:val="0"/>
      <w:color w:val="2235F9"/>
    </w:rPr>
  </w:style>
  <w:style w:type="paragraph" w:styleId="TOC1">
    <w:name w:val="toc 1"/>
    <w:basedOn w:val="Normal"/>
    <w:next w:val="Normal"/>
    <w:autoRedefine/>
    <w:uiPriority w:val="39"/>
    <w:unhideWhenUsed/>
    <w:rsid w:val="008651DB"/>
    <w:pPr>
      <w:tabs>
        <w:tab w:val="left" w:pos="450"/>
        <w:tab w:val="right" w:leader="dot" w:pos="8630"/>
      </w:tabs>
      <w:spacing w:before="120"/>
    </w:pPr>
    <w:rPr>
      <w:rFonts w:asciiTheme="majorHAnsi" w:hAnsiTheme="majorHAnsi" w:cstheme="majorHAnsi"/>
      <w:b/>
      <w:noProof/>
      <w:color w:val="2235F9"/>
      <w:sz w:val="24"/>
    </w:rPr>
  </w:style>
  <w:style w:type="paragraph" w:styleId="TOC2">
    <w:name w:val="toc 2"/>
    <w:basedOn w:val="Normal"/>
    <w:next w:val="Normal"/>
    <w:autoRedefine/>
    <w:uiPriority w:val="39"/>
    <w:unhideWhenUsed/>
    <w:rsid w:val="008651DB"/>
    <w:pPr>
      <w:tabs>
        <w:tab w:val="left" w:pos="720"/>
        <w:tab w:val="right" w:leader="dot" w:pos="8630"/>
      </w:tabs>
      <w:ind w:left="216"/>
    </w:pPr>
    <w:rPr>
      <w:rFonts w:cstheme="minorHAnsi"/>
      <w:noProof/>
      <w:color w:val="3C444F"/>
      <w:sz w:val="22"/>
      <w:szCs w:val="22"/>
    </w:rPr>
  </w:style>
  <w:style w:type="paragraph" w:styleId="TOC3">
    <w:name w:val="toc 3"/>
    <w:basedOn w:val="Normal"/>
    <w:next w:val="Normal"/>
    <w:autoRedefine/>
    <w:uiPriority w:val="39"/>
    <w:unhideWhenUsed/>
    <w:rsid w:val="008651DB"/>
    <w:pPr>
      <w:tabs>
        <w:tab w:val="left" w:pos="1080"/>
        <w:tab w:val="right" w:leader="dot" w:pos="8630"/>
      </w:tabs>
      <w:ind w:left="450" w:hanging="18"/>
    </w:pPr>
    <w:rPr>
      <w:rFonts w:cstheme="minorHAnsi"/>
      <w:noProof/>
      <w:color w:val="3C444F"/>
      <w:sz w:val="22"/>
      <w:szCs w:val="22"/>
    </w:rPr>
  </w:style>
  <w:style w:type="paragraph" w:styleId="TOC4">
    <w:name w:val="toc 4"/>
    <w:basedOn w:val="Normal"/>
    <w:next w:val="Normal"/>
    <w:autoRedefine/>
    <w:uiPriority w:val="39"/>
    <w:unhideWhenUsed/>
    <w:rsid w:val="008651DB"/>
    <w:pPr>
      <w:pBdr>
        <w:between w:val="double" w:sz="6" w:space="0" w:color="auto"/>
      </w:pBdr>
      <w:tabs>
        <w:tab w:val="left" w:pos="1475"/>
        <w:tab w:val="right" w:leader="dot" w:pos="8630"/>
      </w:tabs>
      <w:ind w:left="648"/>
    </w:pPr>
    <w:rPr>
      <w:rFonts w:cstheme="minorHAnsi"/>
      <w:noProof/>
      <w:color w:val="3C444F"/>
      <w:szCs w:val="20"/>
    </w:rPr>
  </w:style>
  <w:style w:type="paragraph" w:styleId="TOC5">
    <w:name w:val="toc 5"/>
    <w:basedOn w:val="Normal"/>
    <w:next w:val="Normal"/>
    <w:autoRedefine/>
    <w:uiPriority w:val="39"/>
    <w:unhideWhenUsed/>
    <w:rsid w:val="008651DB"/>
    <w:pPr>
      <w:pBdr>
        <w:between w:val="double" w:sz="6" w:space="0" w:color="auto"/>
      </w:pBdr>
      <w:ind w:left="864"/>
    </w:pPr>
    <w:rPr>
      <w:rFonts w:cstheme="minorHAnsi"/>
      <w:color w:val="3C444F"/>
      <w:szCs w:val="20"/>
    </w:rPr>
  </w:style>
  <w:style w:type="paragraph" w:styleId="TOC6">
    <w:name w:val="toc 6"/>
    <w:basedOn w:val="Normal"/>
    <w:next w:val="Normal"/>
    <w:autoRedefine/>
    <w:uiPriority w:val="39"/>
    <w:unhideWhenUsed/>
    <w:rsid w:val="00D00C72"/>
    <w:pPr>
      <w:pBdr>
        <w:between w:val="double" w:sz="6" w:space="0" w:color="auto"/>
      </w:pBdr>
      <w:ind w:left="1080"/>
    </w:pPr>
    <w:rPr>
      <w:rFonts w:cstheme="minorHAnsi"/>
      <w:color w:val="3C444F"/>
      <w:szCs w:val="20"/>
    </w:rPr>
  </w:style>
  <w:style w:type="paragraph" w:styleId="TOC7">
    <w:name w:val="toc 7"/>
    <w:basedOn w:val="Normal"/>
    <w:next w:val="Normal"/>
    <w:autoRedefine/>
    <w:uiPriority w:val="39"/>
    <w:unhideWhenUsed/>
    <w:rsid w:val="0024299D"/>
    <w:pPr>
      <w:pBdr>
        <w:between w:val="double" w:sz="6" w:space="0" w:color="auto"/>
      </w:pBdr>
      <w:ind w:left="1000"/>
    </w:pPr>
    <w:rPr>
      <w:rFonts w:cstheme="minorHAnsi"/>
      <w:szCs w:val="20"/>
    </w:rPr>
  </w:style>
  <w:style w:type="paragraph" w:styleId="TOC8">
    <w:name w:val="toc 8"/>
    <w:basedOn w:val="Normal"/>
    <w:next w:val="Normal"/>
    <w:autoRedefine/>
    <w:uiPriority w:val="39"/>
    <w:unhideWhenUsed/>
    <w:rsid w:val="0024299D"/>
    <w:pPr>
      <w:pBdr>
        <w:between w:val="double" w:sz="6" w:space="0" w:color="auto"/>
      </w:pBdr>
      <w:ind w:left="1200"/>
    </w:pPr>
    <w:rPr>
      <w:rFonts w:cstheme="minorHAnsi"/>
      <w:szCs w:val="20"/>
    </w:rPr>
  </w:style>
  <w:style w:type="paragraph" w:styleId="TOC9">
    <w:name w:val="toc 9"/>
    <w:basedOn w:val="Normal"/>
    <w:next w:val="Normal"/>
    <w:autoRedefine/>
    <w:uiPriority w:val="39"/>
    <w:unhideWhenUsed/>
    <w:rsid w:val="0024299D"/>
    <w:pPr>
      <w:pBdr>
        <w:between w:val="double" w:sz="6" w:space="0" w:color="auto"/>
      </w:pBdr>
      <w:ind w:left="1400"/>
    </w:pPr>
    <w:rPr>
      <w:rFonts w:cstheme="minorHAnsi"/>
      <w:szCs w:val="20"/>
    </w:rPr>
  </w:style>
  <w:style w:type="character" w:customStyle="1" w:styleId="Heading3Char">
    <w:name w:val="Heading 3 Char"/>
    <w:basedOn w:val="DefaultParagraphFont"/>
    <w:link w:val="Heading3"/>
    <w:uiPriority w:val="9"/>
    <w:rsid w:val="006539BD"/>
    <w:rPr>
      <w:rFonts w:eastAsiaTheme="majorEastAsia" w:cstheme="majorBidi"/>
      <w:b/>
      <w:bCs/>
      <w:color w:val="000000"/>
      <w:sz w:val="22"/>
      <w:szCs w:val="22"/>
    </w:rPr>
  </w:style>
  <w:style w:type="paragraph" w:styleId="Subtitle">
    <w:name w:val="Subtitle"/>
    <w:aliases w:val="Smaller Title"/>
    <w:basedOn w:val="Normal"/>
    <w:next w:val="Normal"/>
    <w:link w:val="SubtitleChar"/>
    <w:uiPriority w:val="11"/>
    <w:qFormat/>
    <w:rsid w:val="00FE5E22"/>
    <w:pPr>
      <w:numPr>
        <w:ilvl w:val="1"/>
      </w:numPr>
      <w:spacing w:line="240" w:lineRule="auto"/>
    </w:pPr>
    <w:rPr>
      <w:rFonts w:asciiTheme="majorHAnsi" w:eastAsiaTheme="majorEastAsia" w:hAnsiTheme="majorHAnsi" w:cstheme="majorBidi"/>
      <w:b/>
      <w:bCs/>
      <w:caps/>
      <w:color w:val="0F364A" w:themeColor="text2"/>
      <w:spacing w:val="8"/>
      <w:sz w:val="28"/>
      <w:szCs w:val="28"/>
    </w:rPr>
  </w:style>
  <w:style w:type="character" w:customStyle="1" w:styleId="SubtitleChar">
    <w:name w:val="Subtitle Char"/>
    <w:aliases w:val="Smaller Title Char"/>
    <w:basedOn w:val="DefaultParagraphFont"/>
    <w:link w:val="Subtitle"/>
    <w:uiPriority w:val="11"/>
    <w:rsid w:val="00FE5E22"/>
    <w:rPr>
      <w:rFonts w:eastAsiaTheme="majorEastAsia" w:cstheme="majorBidi"/>
      <w:b/>
      <w:bCs/>
      <w:caps/>
      <w:color w:val="0F364A" w:themeColor="text2"/>
      <w:spacing w:val="8"/>
      <w:sz w:val="28"/>
      <w:szCs w:val="28"/>
    </w:rPr>
  </w:style>
  <w:style w:type="character" w:styleId="Hyperlink">
    <w:name w:val="Hyperlink"/>
    <w:basedOn w:val="DefaultParagraphFont"/>
    <w:uiPriority w:val="99"/>
    <w:unhideWhenUsed/>
    <w:rsid w:val="006539BD"/>
    <w:rPr>
      <w:b/>
      <w:i w:val="0"/>
      <w:color w:val="000000"/>
      <w:u w:val="single"/>
    </w:rPr>
  </w:style>
  <w:style w:type="paragraph" w:customStyle="1" w:styleId="CoverPageSubtitle">
    <w:name w:val="Cover Page Subtitle"/>
    <w:basedOn w:val="Normal"/>
    <w:link w:val="CoverPageSubtitleChar"/>
    <w:qFormat/>
    <w:rsid w:val="00926862"/>
    <w:pPr>
      <w:contextualSpacing/>
    </w:pPr>
    <w:rPr>
      <w:b/>
      <w:color w:val="3C444F"/>
      <w:sz w:val="36"/>
    </w:rPr>
  </w:style>
  <w:style w:type="character" w:styleId="CommentReference">
    <w:name w:val="annotation reference"/>
    <w:basedOn w:val="DefaultParagraphFont"/>
    <w:uiPriority w:val="99"/>
    <w:semiHidden/>
    <w:unhideWhenUsed/>
    <w:rsid w:val="00B82476"/>
    <w:rPr>
      <w:sz w:val="16"/>
      <w:szCs w:val="16"/>
    </w:rPr>
  </w:style>
  <w:style w:type="character" w:customStyle="1" w:styleId="CoverPageSubtitleChar">
    <w:name w:val="Cover Page Subtitle Char"/>
    <w:basedOn w:val="DefaultParagraphFont"/>
    <w:link w:val="CoverPageSubtitle"/>
    <w:rsid w:val="00926862"/>
    <w:rPr>
      <w:rFonts w:asciiTheme="minorHAnsi" w:hAnsiTheme="minorHAnsi"/>
      <w:b/>
      <w:color w:val="3C444F"/>
      <w:sz w:val="36"/>
    </w:rPr>
  </w:style>
  <w:style w:type="paragraph" w:styleId="CommentText">
    <w:name w:val="annotation text"/>
    <w:basedOn w:val="Normal"/>
    <w:link w:val="CommentTextChar"/>
    <w:uiPriority w:val="99"/>
    <w:semiHidden/>
    <w:unhideWhenUsed/>
    <w:rsid w:val="00B82476"/>
    <w:pPr>
      <w:spacing w:line="240" w:lineRule="auto"/>
    </w:pPr>
    <w:rPr>
      <w:szCs w:val="20"/>
    </w:rPr>
  </w:style>
  <w:style w:type="character" w:customStyle="1" w:styleId="CommentTextChar">
    <w:name w:val="Comment Text Char"/>
    <w:basedOn w:val="DefaultParagraphFont"/>
    <w:link w:val="CommentText"/>
    <w:uiPriority w:val="99"/>
    <w:semiHidden/>
    <w:rsid w:val="00B8247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82476"/>
    <w:rPr>
      <w:b/>
      <w:bCs/>
    </w:rPr>
  </w:style>
  <w:style w:type="character" w:customStyle="1" w:styleId="CommentSubjectChar">
    <w:name w:val="Comment Subject Char"/>
    <w:basedOn w:val="CommentTextChar"/>
    <w:link w:val="CommentSubject"/>
    <w:uiPriority w:val="99"/>
    <w:semiHidden/>
    <w:rsid w:val="00B82476"/>
    <w:rPr>
      <w:rFonts w:asciiTheme="minorHAnsi" w:hAnsiTheme="minorHAnsi"/>
      <w:b/>
      <w:bCs/>
      <w:sz w:val="20"/>
      <w:szCs w:val="20"/>
    </w:rPr>
  </w:style>
  <w:style w:type="paragraph" w:customStyle="1" w:styleId="ListBulletLoose">
    <w:name w:val="List Bullet Loose"/>
    <w:basedOn w:val="ListParagraph"/>
    <w:link w:val="ListBulletLooseChar"/>
    <w:qFormat/>
    <w:rsid w:val="005373E9"/>
    <w:pPr>
      <w:numPr>
        <w:numId w:val="1"/>
      </w:numPr>
      <w:spacing w:after="120"/>
      <w:ind w:left="360"/>
      <w:contextualSpacing w:val="0"/>
    </w:pPr>
  </w:style>
  <w:style w:type="paragraph" w:styleId="BodyText">
    <w:name w:val="Body Text"/>
    <w:basedOn w:val="Normal"/>
    <w:link w:val="BodyTextChar"/>
    <w:rsid w:val="006539BD"/>
    <w:pPr>
      <w:spacing w:after="120"/>
    </w:pPr>
    <w:rPr>
      <w:color w:val="000000"/>
    </w:rPr>
  </w:style>
  <w:style w:type="character" w:customStyle="1" w:styleId="ListParagraphChar">
    <w:name w:val="List Paragraph Char"/>
    <w:basedOn w:val="DefaultParagraphFont"/>
    <w:link w:val="ListParagraph"/>
    <w:uiPriority w:val="34"/>
    <w:rsid w:val="005A0F45"/>
    <w:rPr>
      <w:rFonts w:asciiTheme="minorHAnsi" w:hAnsiTheme="minorHAnsi"/>
      <w:sz w:val="20"/>
    </w:rPr>
  </w:style>
  <w:style w:type="character" w:customStyle="1" w:styleId="ListBulletLooseChar">
    <w:name w:val="List Bullet Loose Char"/>
    <w:basedOn w:val="ListParagraphChar"/>
    <w:link w:val="ListBulletLoose"/>
    <w:rsid w:val="005373E9"/>
    <w:rPr>
      <w:rFonts w:asciiTheme="minorHAnsi" w:hAnsiTheme="minorHAnsi"/>
      <w:sz w:val="20"/>
    </w:rPr>
  </w:style>
  <w:style w:type="character" w:customStyle="1" w:styleId="BodyTextChar">
    <w:name w:val="Body Text Char"/>
    <w:basedOn w:val="DefaultParagraphFont"/>
    <w:link w:val="BodyText"/>
    <w:rsid w:val="006539BD"/>
    <w:rPr>
      <w:rFonts w:asciiTheme="minorHAnsi" w:hAnsiTheme="minorHAnsi"/>
      <w:color w:val="000000"/>
      <w:sz w:val="20"/>
    </w:rPr>
  </w:style>
  <w:style w:type="paragraph" w:styleId="ListBullet">
    <w:name w:val="List Bullet"/>
    <w:basedOn w:val="ListBullet2"/>
    <w:rsid w:val="004B22B9"/>
    <w:pPr>
      <w:numPr>
        <w:numId w:val="40"/>
      </w:numPr>
    </w:pPr>
  </w:style>
  <w:style w:type="character" w:styleId="FollowedHyperlink">
    <w:name w:val="FollowedHyperlink"/>
    <w:basedOn w:val="Hyperlink"/>
    <w:uiPriority w:val="99"/>
    <w:unhideWhenUsed/>
    <w:rsid w:val="006539BD"/>
    <w:rPr>
      <w:b/>
      <w:i/>
      <w:color w:val="000000"/>
      <w:u w:val="single"/>
    </w:rPr>
  </w:style>
  <w:style w:type="character" w:styleId="SubtleReference">
    <w:name w:val="Subtle Reference"/>
    <w:basedOn w:val="DefaultParagraphFont"/>
    <w:uiPriority w:val="31"/>
    <w:qFormat/>
    <w:rsid w:val="00D4749C"/>
    <w:rPr>
      <w:smallCaps/>
      <w:color w:val="000000" w:themeColor="accent2"/>
      <w:u w:val="single"/>
    </w:rPr>
  </w:style>
  <w:style w:type="character" w:styleId="IntenseReference">
    <w:name w:val="Intense Reference"/>
    <w:basedOn w:val="DefaultParagraphFont"/>
    <w:uiPriority w:val="32"/>
    <w:qFormat/>
    <w:rsid w:val="00D4749C"/>
    <w:rPr>
      <w:b/>
      <w:bCs/>
      <w:smallCaps/>
      <w:color w:val="000000" w:themeColor="accent2"/>
      <w:spacing w:val="5"/>
      <w:u w:val="single"/>
    </w:rPr>
  </w:style>
  <w:style w:type="paragraph" w:styleId="BodyTextFirstIndent">
    <w:name w:val="Body Text First Indent"/>
    <w:basedOn w:val="BodyText"/>
    <w:link w:val="BodyTextFirstIndentChar"/>
    <w:uiPriority w:val="99"/>
    <w:unhideWhenUsed/>
    <w:rsid w:val="002B2890"/>
    <w:pPr>
      <w:ind w:firstLine="360"/>
    </w:pPr>
  </w:style>
  <w:style w:type="paragraph" w:customStyle="1" w:styleId="ListBulletCaptionStrong">
    <w:name w:val="List Bullet Caption Strong"/>
    <w:basedOn w:val="BodyText"/>
    <w:link w:val="ListBulletCaptionStrongChar"/>
    <w:qFormat/>
    <w:rsid w:val="00D4749C"/>
    <w:pPr>
      <w:numPr>
        <w:numId w:val="8"/>
      </w:numPr>
    </w:pPr>
    <w:rPr>
      <w:color w:val="4D4D4D" w:themeColor="accent4"/>
    </w:rPr>
  </w:style>
  <w:style w:type="character" w:customStyle="1" w:styleId="BodyTextFirstIndentChar">
    <w:name w:val="Body Text First Indent Char"/>
    <w:basedOn w:val="BodyTextChar"/>
    <w:link w:val="BodyTextFirstIndent"/>
    <w:uiPriority w:val="99"/>
    <w:rsid w:val="002B2890"/>
    <w:rPr>
      <w:rFonts w:asciiTheme="minorHAnsi" w:hAnsiTheme="minorHAnsi"/>
      <w:color w:val="3C444F"/>
      <w:sz w:val="20"/>
    </w:rPr>
  </w:style>
  <w:style w:type="character" w:customStyle="1" w:styleId="ListBulletCaptionStrongChar">
    <w:name w:val="List Bullet Caption Strong Char"/>
    <w:basedOn w:val="BodyTextChar"/>
    <w:link w:val="ListBulletCaptionStrong"/>
    <w:rsid w:val="00D4749C"/>
    <w:rPr>
      <w:rFonts w:ascii="Arial" w:eastAsia="Times New Roman" w:hAnsi="Arial" w:cs="Times New Roman"/>
      <w:color w:val="4D4D4D" w:themeColor="accent4"/>
      <w:sz w:val="20"/>
      <w:szCs w:val="20"/>
    </w:rPr>
  </w:style>
  <w:style w:type="character" w:customStyle="1" w:styleId="Heading4Char">
    <w:name w:val="Heading 4 Char"/>
    <w:basedOn w:val="DefaultParagraphFont"/>
    <w:link w:val="Heading4"/>
    <w:uiPriority w:val="9"/>
    <w:rsid w:val="005D5FC6"/>
    <w:rPr>
      <w:rFonts w:eastAsiaTheme="majorEastAsia" w:cstheme="majorBidi"/>
      <w:b/>
      <w:bCs/>
      <w:color w:val="3C444F"/>
      <w:sz w:val="20"/>
      <w:szCs w:val="20"/>
    </w:rPr>
  </w:style>
  <w:style w:type="paragraph" w:customStyle="1" w:styleId="BodyText5">
    <w:name w:val="Body Text 5"/>
    <w:basedOn w:val="BodyText4"/>
    <w:link w:val="BodyText5Char"/>
    <w:qFormat/>
    <w:rsid w:val="008651DB"/>
    <w:pPr>
      <w:ind w:left="900"/>
    </w:pPr>
  </w:style>
  <w:style w:type="paragraph" w:customStyle="1" w:styleId="BodyText4">
    <w:name w:val="Body Text 4"/>
    <w:basedOn w:val="Normal"/>
    <w:link w:val="BodyText4Char"/>
    <w:qFormat/>
    <w:rsid w:val="006539BD"/>
    <w:pPr>
      <w:ind w:left="720"/>
    </w:pPr>
    <w:rPr>
      <w:color w:val="000000"/>
      <w:szCs w:val="20"/>
    </w:rPr>
  </w:style>
  <w:style w:type="paragraph" w:customStyle="1" w:styleId="BodyText6">
    <w:name w:val="Body Text 6"/>
    <w:basedOn w:val="BodyText5"/>
    <w:link w:val="BodyText6Char"/>
    <w:qFormat/>
    <w:rsid w:val="008651DB"/>
    <w:pPr>
      <w:ind w:left="1260"/>
    </w:pPr>
  </w:style>
  <w:style w:type="paragraph" w:customStyle="1" w:styleId="BodyItalic">
    <w:name w:val="Body Italic"/>
    <w:basedOn w:val="Normal"/>
    <w:link w:val="BodyItalicChar"/>
    <w:qFormat/>
    <w:rsid w:val="00397735"/>
    <w:rPr>
      <w:i/>
    </w:rPr>
  </w:style>
  <w:style w:type="character" w:customStyle="1" w:styleId="BodyText4Char">
    <w:name w:val="Body Text 4 Char"/>
    <w:basedOn w:val="DefaultParagraphFont"/>
    <w:link w:val="BodyText4"/>
    <w:rsid w:val="006539BD"/>
    <w:rPr>
      <w:rFonts w:asciiTheme="minorHAnsi" w:hAnsiTheme="minorHAnsi"/>
      <w:color w:val="000000"/>
      <w:sz w:val="20"/>
      <w:szCs w:val="20"/>
    </w:rPr>
  </w:style>
  <w:style w:type="table" w:styleId="MediumGrid2-Accent1">
    <w:name w:val="Medium Grid 2 Accent 1"/>
    <w:basedOn w:val="TableNormal"/>
    <w:uiPriority w:val="68"/>
    <w:rsid w:val="005C4895"/>
    <w:rPr>
      <w:rFonts w:eastAsiaTheme="majorEastAsia" w:cstheme="majorBidi"/>
      <w:color w:val="000000" w:themeColor="text1"/>
      <w:sz w:val="22"/>
      <w:szCs w:val="22"/>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000000" w:themeColor="text1"/>
      </w:rPr>
      <w:tblPr/>
      <w:tcPr>
        <w:shd w:val="clear" w:color="auto" w:fill="F0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character" w:customStyle="1" w:styleId="BodyItalicChar">
    <w:name w:val="Body Italic Char"/>
    <w:basedOn w:val="DefaultParagraphFont"/>
    <w:link w:val="BodyItalic"/>
    <w:rsid w:val="00397735"/>
    <w:rPr>
      <w:rFonts w:asciiTheme="minorHAnsi" w:hAnsiTheme="minorHAnsi"/>
      <w:i/>
      <w:sz w:val="20"/>
    </w:rPr>
  </w:style>
  <w:style w:type="paragraph" w:customStyle="1" w:styleId="Copyright">
    <w:name w:val="Copyright"/>
    <w:basedOn w:val="Footer"/>
    <w:link w:val="CopyrightChar"/>
    <w:qFormat/>
    <w:rsid w:val="006539BD"/>
    <w:rPr>
      <w:rFonts w:ascii="Arial" w:hAnsi="Arial" w:cs="Arial"/>
      <w:color w:val="000000"/>
      <w:sz w:val="14"/>
      <w:szCs w:val="14"/>
    </w:rPr>
  </w:style>
  <w:style w:type="character" w:customStyle="1" w:styleId="Heading5Char">
    <w:name w:val="Heading 5 Char"/>
    <w:basedOn w:val="DefaultParagraphFont"/>
    <w:link w:val="Heading5"/>
    <w:uiPriority w:val="9"/>
    <w:rsid w:val="005D5FC6"/>
    <w:rPr>
      <w:rFonts w:eastAsiaTheme="majorEastAsia" w:cstheme="majorBidi"/>
      <w:bCs/>
      <w:color w:val="3C444F"/>
      <w:sz w:val="20"/>
      <w:szCs w:val="20"/>
    </w:rPr>
  </w:style>
  <w:style w:type="character" w:customStyle="1" w:styleId="CopyrightChar">
    <w:name w:val="Copyright Char"/>
    <w:basedOn w:val="FooterChar"/>
    <w:link w:val="Copyright"/>
    <w:rsid w:val="006539BD"/>
    <w:rPr>
      <w:rFonts w:ascii="Arial" w:hAnsi="Arial" w:cs="Arial"/>
      <w:color w:val="000000"/>
      <w:sz w:val="14"/>
      <w:szCs w:val="14"/>
    </w:rPr>
  </w:style>
  <w:style w:type="character" w:customStyle="1" w:styleId="Heading6Char">
    <w:name w:val="Heading 6 Char"/>
    <w:basedOn w:val="DefaultParagraphFont"/>
    <w:link w:val="Heading6"/>
    <w:uiPriority w:val="9"/>
    <w:rsid w:val="005D5FC6"/>
    <w:rPr>
      <w:rFonts w:eastAsiaTheme="majorEastAsia" w:cstheme="majorBidi"/>
      <w:bCs/>
      <w:color w:val="3C444F"/>
      <w:sz w:val="20"/>
      <w:szCs w:val="20"/>
    </w:rPr>
  </w:style>
  <w:style w:type="paragraph" w:styleId="BodyText3">
    <w:name w:val="Body Text 3"/>
    <w:basedOn w:val="Normal"/>
    <w:link w:val="BodyText3Char"/>
    <w:uiPriority w:val="99"/>
    <w:unhideWhenUsed/>
    <w:rsid w:val="006539BD"/>
    <w:pPr>
      <w:ind w:left="360"/>
    </w:pPr>
    <w:rPr>
      <w:color w:val="000000"/>
    </w:rPr>
  </w:style>
  <w:style w:type="character" w:customStyle="1" w:styleId="BodyText3Char">
    <w:name w:val="Body Text 3 Char"/>
    <w:basedOn w:val="DefaultParagraphFont"/>
    <w:link w:val="BodyText3"/>
    <w:uiPriority w:val="99"/>
    <w:rsid w:val="006539BD"/>
    <w:rPr>
      <w:rFonts w:asciiTheme="minorHAnsi" w:hAnsiTheme="minorHAnsi"/>
      <w:color w:val="000000"/>
      <w:sz w:val="20"/>
    </w:rPr>
  </w:style>
  <w:style w:type="character" w:customStyle="1" w:styleId="BodyText5Char">
    <w:name w:val="Body Text 5 Char"/>
    <w:basedOn w:val="BodyText4Char"/>
    <w:link w:val="BodyText5"/>
    <w:rsid w:val="008651DB"/>
    <w:rPr>
      <w:rFonts w:asciiTheme="minorHAnsi" w:hAnsiTheme="minorHAnsi"/>
      <w:color w:val="3C444F"/>
      <w:sz w:val="20"/>
      <w:szCs w:val="20"/>
    </w:rPr>
  </w:style>
  <w:style w:type="character" w:customStyle="1" w:styleId="BodyText6Char">
    <w:name w:val="Body Text 6 Char"/>
    <w:basedOn w:val="BodyText5Char"/>
    <w:link w:val="BodyText6"/>
    <w:rsid w:val="008651DB"/>
    <w:rPr>
      <w:rFonts w:asciiTheme="minorHAnsi" w:hAnsiTheme="minorHAnsi"/>
      <w:color w:val="3C444F"/>
      <w:sz w:val="20"/>
      <w:szCs w:val="20"/>
    </w:rPr>
  </w:style>
  <w:style w:type="paragraph" w:customStyle="1" w:styleId="ListBulletIndentTight">
    <w:name w:val="List Bullet Indent Tight"/>
    <w:basedOn w:val="ListBulletLoose"/>
    <w:rsid w:val="000F7450"/>
    <w:pPr>
      <w:spacing w:line="240" w:lineRule="auto"/>
      <w:contextualSpacing/>
    </w:pPr>
  </w:style>
  <w:style w:type="paragraph" w:customStyle="1" w:styleId="BodyBold">
    <w:name w:val="Body Bold"/>
    <w:basedOn w:val="BodyText"/>
    <w:next w:val="BodyText"/>
    <w:link w:val="BodyBoldChar"/>
    <w:qFormat/>
    <w:rsid w:val="006539BD"/>
    <w:rPr>
      <w:b/>
    </w:rPr>
  </w:style>
  <w:style w:type="character" w:customStyle="1" w:styleId="BodyBoldChar">
    <w:name w:val="Body Bold Char"/>
    <w:basedOn w:val="BodyTextChar"/>
    <w:link w:val="BodyBold"/>
    <w:rsid w:val="006539BD"/>
    <w:rPr>
      <w:rFonts w:asciiTheme="minorHAnsi" w:hAnsiTheme="minorHAnsi"/>
      <w:b/>
      <w:color w:val="000000"/>
      <w:sz w:val="20"/>
    </w:rPr>
  </w:style>
  <w:style w:type="paragraph" w:customStyle="1" w:styleId="CoverPageDate">
    <w:name w:val="Cover Page Date"/>
    <w:basedOn w:val="CoverPageSubtitle"/>
    <w:qFormat/>
    <w:rsid w:val="00926862"/>
    <w:rPr>
      <w:b w:val="0"/>
      <w:sz w:val="24"/>
    </w:rPr>
  </w:style>
  <w:style w:type="paragraph" w:customStyle="1" w:styleId="TableSubHeader">
    <w:name w:val="Table SubHeader"/>
    <w:basedOn w:val="Normal"/>
    <w:link w:val="TableSubHeaderChar"/>
    <w:qFormat/>
    <w:rsid w:val="006539BD"/>
    <w:pPr>
      <w:spacing w:line="240" w:lineRule="auto"/>
    </w:pPr>
    <w:rPr>
      <w:rFonts w:ascii="Arial" w:eastAsia="Times New Roman" w:hAnsi="Arial" w:cs="Arial"/>
      <w:b/>
      <w:color w:val="000000"/>
      <w:sz w:val="18"/>
      <w:szCs w:val="18"/>
    </w:rPr>
  </w:style>
  <w:style w:type="paragraph" w:customStyle="1" w:styleId="TableColumnHeader">
    <w:name w:val="Table Column Header"/>
    <w:basedOn w:val="Normal"/>
    <w:link w:val="TableColumnHeaderChar"/>
    <w:qFormat/>
    <w:rsid w:val="00DE05DE"/>
    <w:pPr>
      <w:spacing w:line="240" w:lineRule="auto"/>
    </w:pPr>
    <w:rPr>
      <w:rFonts w:ascii="Arial" w:eastAsia="Times New Roman" w:hAnsi="Arial" w:cs="Arial"/>
      <w:b/>
      <w:color w:val="000000"/>
      <w:sz w:val="18"/>
      <w:szCs w:val="18"/>
    </w:rPr>
  </w:style>
  <w:style w:type="character" w:customStyle="1" w:styleId="TableSubHeaderChar">
    <w:name w:val="Table SubHeader Char"/>
    <w:basedOn w:val="DefaultParagraphFont"/>
    <w:link w:val="TableSubHeader"/>
    <w:rsid w:val="006539BD"/>
    <w:rPr>
      <w:rFonts w:ascii="Arial" w:eastAsia="Times New Roman" w:hAnsi="Arial" w:cs="Arial"/>
      <w:b/>
      <w:color w:val="000000"/>
      <w:sz w:val="18"/>
      <w:szCs w:val="18"/>
    </w:rPr>
  </w:style>
  <w:style w:type="paragraph" w:customStyle="1" w:styleId="TableBody">
    <w:name w:val="Table Body"/>
    <w:basedOn w:val="Normal"/>
    <w:link w:val="TableBodyChar"/>
    <w:qFormat/>
    <w:rsid w:val="006539BD"/>
    <w:pPr>
      <w:spacing w:line="240" w:lineRule="auto"/>
    </w:pPr>
    <w:rPr>
      <w:rFonts w:ascii="Arial" w:eastAsia="Times New Roman" w:hAnsi="Arial" w:cs="Arial"/>
      <w:color w:val="000000"/>
      <w:sz w:val="18"/>
      <w:szCs w:val="18"/>
    </w:rPr>
  </w:style>
  <w:style w:type="character" w:customStyle="1" w:styleId="TableColumnHeaderChar">
    <w:name w:val="Table Column Header Char"/>
    <w:basedOn w:val="DefaultParagraphFont"/>
    <w:link w:val="TableColumnHeader"/>
    <w:rsid w:val="00DE05DE"/>
    <w:rPr>
      <w:rFonts w:ascii="Arial" w:eastAsia="Times New Roman" w:hAnsi="Arial" w:cs="Arial"/>
      <w:b/>
      <w:color w:val="000000"/>
      <w:sz w:val="18"/>
      <w:szCs w:val="18"/>
    </w:rPr>
  </w:style>
  <w:style w:type="paragraph" w:styleId="ListNumber">
    <w:name w:val="List Number"/>
    <w:basedOn w:val="Normal"/>
    <w:uiPriority w:val="99"/>
    <w:unhideWhenUsed/>
    <w:rsid w:val="00F421AC"/>
    <w:pPr>
      <w:numPr>
        <w:numId w:val="24"/>
      </w:numPr>
      <w:spacing w:after="120"/>
      <w:contextualSpacing/>
    </w:pPr>
  </w:style>
  <w:style w:type="character" w:customStyle="1" w:styleId="TableBodyChar">
    <w:name w:val="Table Body Char"/>
    <w:basedOn w:val="DefaultParagraphFont"/>
    <w:link w:val="TableBody"/>
    <w:rsid w:val="006539BD"/>
    <w:rPr>
      <w:rFonts w:ascii="Arial" w:eastAsia="Times New Roman" w:hAnsi="Arial" w:cs="Arial"/>
      <w:color w:val="000000"/>
      <w:sz w:val="18"/>
      <w:szCs w:val="18"/>
    </w:rPr>
  </w:style>
  <w:style w:type="paragraph" w:styleId="List">
    <w:name w:val="List"/>
    <w:basedOn w:val="Normal"/>
    <w:uiPriority w:val="99"/>
    <w:unhideWhenUsed/>
    <w:rsid w:val="004B22B9"/>
    <w:pPr>
      <w:spacing w:after="120"/>
      <w:ind w:left="360" w:hanging="360"/>
      <w:contextualSpacing/>
    </w:pPr>
  </w:style>
  <w:style w:type="paragraph" w:styleId="ListBullet2">
    <w:name w:val="List Bullet 2"/>
    <w:basedOn w:val="ListBulletIndentTight"/>
    <w:uiPriority w:val="99"/>
    <w:unhideWhenUsed/>
    <w:rsid w:val="004B22B9"/>
    <w:pPr>
      <w:spacing w:line="276" w:lineRule="auto"/>
      <w:ind w:left="720"/>
    </w:pPr>
  </w:style>
  <w:style w:type="paragraph" w:styleId="ListBullet3">
    <w:name w:val="List Bullet 3"/>
    <w:basedOn w:val="Normal"/>
    <w:uiPriority w:val="99"/>
    <w:unhideWhenUsed/>
    <w:rsid w:val="00312F41"/>
    <w:pPr>
      <w:numPr>
        <w:numId w:val="21"/>
      </w:numPr>
      <w:contextualSpacing/>
    </w:pPr>
  </w:style>
  <w:style w:type="paragraph" w:customStyle="1" w:styleId="ListBulletLoose2">
    <w:name w:val="List Bullet Loose 2"/>
    <w:basedOn w:val="ListBulletLoose"/>
    <w:qFormat/>
    <w:rsid w:val="005373E9"/>
    <w:pPr>
      <w:ind w:left="720"/>
    </w:pPr>
  </w:style>
  <w:style w:type="paragraph" w:customStyle="1" w:styleId="ListBulletLoose3">
    <w:name w:val="List Bullet Loose 3"/>
    <w:basedOn w:val="ListBulletLoose"/>
    <w:qFormat/>
    <w:rsid w:val="005373E9"/>
    <w:pPr>
      <w:ind w:left="1080"/>
    </w:pPr>
  </w:style>
  <w:style w:type="paragraph" w:styleId="List2">
    <w:name w:val="List 2"/>
    <w:basedOn w:val="Normal"/>
    <w:uiPriority w:val="99"/>
    <w:unhideWhenUsed/>
    <w:rsid w:val="004B22B9"/>
    <w:pPr>
      <w:ind w:left="720" w:hanging="360"/>
      <w:contextualSpacing/>
    </w:pPr>
  </w:style>
  <w:style w:type="paragraph" w:styleId="List3">
    <w:name w:val="List 3"/>
    <w:basedOn w:val="Normal"/>
    <w:uiPriority w:val="99"/>
    <w:unhideWhenUsed/>
    <w:rsid w:val="004B22B9"/>
    <w:pPr>
      <w:spacing w:after="120"/>
      <w:ind w:left="1080" w:hanging="360"/>
      <w:contextualSpacing/>
    </w:pPr>
  </w:style>
  <w:style w:type="paragraph" w:styleId="ListContinue">
    <w:name w:val="List Continue"/>
    <w:basedOn w:val="Normal"/>
    <w:uiPriority w:val="99"/>
    <w:unhideWhenUsed/>
    <w:rsid w:val="00FB3D93"/>
    <w:pPr>
      <w:spacing w:after="120"/>
      <w:ind w:left="360"/>
    </w:pPr>
  </w:style>
  <w:style w:type="paragraph" w:styleId="ListContinue2">
    <w:name w:val="List Continue 2"/>
    <w:basedOn w:val="Normal"/>
    <w:uiPriority w:val="99"/>
    <w:unhideWhenUsed/>
    <w:rsid w:val="00FB3D93"/>
    <w:pPr>
      <w:spacing w:after="120"/>
      <w:ind w:left="720"/>
    </w:pPr>
  </w:style>
  <w:style w:type="paragraph" w:styleId="ListContinue3">
    <w:name w:val="List Continue 3"/>
    <w:basedOn w:val="Normal"/>
    <w:uiPriority w:val="99"/>
    <w:semiHidden/>
    <w:unhideWhenUsed/>
    <w:rsid w:val="00FB3D93"/>
    <w:pPr>
      <w:spacing w:after="120"/>
      <w:ind w:left="1080"/>
    </w:pPr>
  </w:style>
  <w:style w:type="paragraph" w:styleId="ListContinue4">
    <w:name w:val="List Continue 4"/>
    <w:basedOn w:val="Normal"/>
    <w:uiPriority w:val="99"/>
    <w:semiHidden/>
    <w:unhideWhenUsed/>
    <w:rsid w:val="00FB3D93"/>
    <w:pPr>
      <w:spacing w:after="120"/>
      <w:ind w:left="1440"/>
    </w:pPr>
  </w:style>
  <w:style w:type="paragraph" w:styleId="ListContinue5">
    <w:name w:val="List Continue 5"/>
    <w:basedOn w:val="Normal"/>
    <w:uiPriority w:val="99"/>
    <w:semiHidden/>
    <w:unhideWhenUsed/>
    <w:rsid w:val="00FB3D93"/>
    <w:pPr>
      <w:spacing w:after="120"/>
      <w:ind w:left="1800"/>
    </w:pPr>
  </w:style>
  <w:style w:type="paragraph" w:styleId="ListNumber2">
    <w:name w:val="List Number 2"/>
    <w:basedOn w:val="Normal"/>
    <w:uiPriority w:val="99"/>
    <w:unhideWhenUsed/>
    <w:rsid w:val="00F421AC"/>
    <w:pPr>
      <w:numPr>
        <w:numId w:val="25"/>
      </w:numPr>
      <w:spacing w:after="120"/>
      <w:contextualSpacing/>
    </w:pPr>
  </w:style>
  <w:style w:type="paragraph" w:styleId="ListNumber3">
    <w:name w:val="List Number 3"/>
    <w:basedOn w:val="Normal"/>
    <w:uiPriority w:val="99"/>
    <w:unhideWhenUsed/>
    <w:rsid w:val="00F421AC"/>
    <w:pPr>
      <w:numPr>
        <w:numId w:val="26"/>
      </w:numPr>
      <w:spacing w:after="120"/>
      <w:contextualSpacing/>
    </w:pPr>
  </w:style>
  <w:style w:type="paragraph" w:styleId="ListNumber4">
    <w:name w:val="List Number 4"/>
    <w:basedOn w:val="Normal"/>
    <w:uiPriority w:val="99"/>
    <w:semiHidden/>
    <w:unhideWhenUsed/>
    <w:rsid w:val="00F421AC"/>
    <w:pPr>
      <w:numPr>
        <w:numId w:val="27"/>
      </w:numPr>
      <w:spacing w:after="120"/>
      <w:contextualSpacing/>
    </w:pPr>
  </w:style>
  <w:style w:type="paragraph" w:styleId="BlockText">
    <w:name w:val="Block Text"/>
    <w:basedOn w:val="Normal"/>
    <w:uiPriority w:val="99"/>
    <w:unhideWhenUsed/>
    <w:rsid w:val="006539BD"/>
    <w:pPr>
      <w:pBdr>
        <w:top w:val="single" w:sz="12" w:space="10" w:color="000000"/>
        <w:left w:val="single" w:sz="12" w:space="10" w:color="000000"/>
        <w:bottom w:val="single" w:sz="12" w:space="10" w:color="000000"/>
        <w:right w:val="single" w:sz="12" w:space="10" w:color="000000"/>
      </w:pBdr>
      <w:ind w:left="1152" w:right="1152"/>
    </w:pPr>
    <w:rPr>
      <w:i/>
      <w:iCs/>
      <w:color w:val="000000"/>
    </w:rPr>
  </w:style>
  <w:style w:type="paragraph" w:customStyle="1" w:styleId="Table2ColumnHeader">
    <w:name w:val="Table 2 Column Header"/>
    <w:basedOn w:val="BodyText"/>
    <w:link w:val="Table2ColumnHeaderChar"/>
    <w:qFormat/>
    <w:rsid w:val="00545D55"/>
    <w:rPr>
      <w:rFonts w:eastAsiaTheme="majorEastAsia" w:cstheme="majorBidi"/>
      <w:b/>
      <w:color w:val="000000" w:themeColor="text1"/>
      <w:szCs w:val="22"/>
    </w:rPr>
  </w:style>
  <w:style w:type="character" w:customStyle="1" w:styleId="Table2ColumnHeaderChar">
    <w:name w:val="Table 2 Column Header Char"/>
    <w:basedOn w:val="BodyTextChar"/>
    <w:link w:val="Table2ColumnHeader"/>
    <w:rsid w:val="00545D55"/>
    <w:rPr>
      <w:rFonts w:asciiTheme="minorHAnsi" w:eastAsiaTheme="majorEastAsia" w:hAnsiTheme="minorHAnsi" w:cstheme="majorBidi"/>
      <w:b/>
      <w:color w:val="000000" w:themeColor="text1"/>
      <w:sz w:val="20"/>
      <w:szCs w:val="22"/>
    </w:rPr>
  </w:style>
  <w:style w:type="paragraph" w:customStyle="1" w:styleId="Table2Body">
    <w:name w:val="Table 2 Body"/>
    <w:link w:val="Table2BodyChar"/>
    <w:qFormat/>
    <w:rsid w:val="008F593B"/>
    <w:rPr>
      <w:rFonts w:asciiTheme="minorHAnsi" w:eastAsiaTheme="majorEastAsia" w:hAnsiTheme="minorHAnsi" w:cstheme="majorBidi"/>
      <w:color w:val="000000" w:themeColor="text1"/>
      <w:sz w:val="20"/>
      <w:szCs w:val="22"/>
    </w:rPr>
  </w:style>
  <w:style w:type="paragraph" w:customStyle="1" w:styleId="Table2SubHeader">
    <w:name w:val="Table 2 SubHeader"/>
    <w:basedOn w:val="Table2ColumnHeader"/>
    <w:link w:val="Table2SubHeaderChar"/>
    <w:qFormat/>
    <w:rsid w:val="008F593B"/>
    <w:rPr>
      <w:i/>
    </w:rPr>
  </w:style>
  <w:style w:type="character" w:customStyle="1" w:styleId="Table2BodyChar">
    <w:name w:val="Table 2 Body Char"/>
    <w:basedOn w:val="BodyTextChar"/>
    <w:link w:val="Table2Body"/>
    <w:rsid w:val="008F593B"/>
    <w:rPr>
      <w:rFonts w:asciiTheme="minorHAnsi" w:eastAsiaTheme="majorEastAsia" w:hAnsiTheme="minorHAnsi" w:cstheme="majorBidi"/>
      <w:color w:val="000000" w:themeColor="text1"/>
      <w:sz w:val="20"/>
      <w:szCs w:val="22"/>
    </w:rPr>
  </w:style>
  <w:style w:type="paragraph" w:customStyle="1" w:styleId="TableBullet">
    <w:name w:val="Table Bullet"/>
    <w:basedOn w:val="TableBody"/>
    <w:qFormat/>
    <w:rsid w:val="0035197A"/>
    <w:pPr>
      <w:numPr>
        <w:numId w:val="31"/>
      </w:numPr>
      <w:ind w:left="155" w:hanging="155"/>
    </w:pPr>
  </w:style>
  <w:style w:type="character" w:customStyle="1" w:styleId="Table2SubHeaderChar">
    <w:name w:val="Table 2 SubHeader Char"/>
    <w:basedOn w:val="Table2BodyChar"/>
    <w:link w:val="Table2SubHeader"/>
    <w:rsid w:val="008F593B"/>
    <w:rPr>
      <w:rFonts w:asciiTheme="minorHAnsi" w:eastAsiaTheme="majorEastAsia" w:hAnsiTheme="minorHAnsi" w:cstheme="majorBidi"/>
      <w:b/>
      <w:bCs/>
      <w:i/>
      <w:color w:val="000000" w:themeColor="text1"/>
      <w:sz w:val="20"/>
      <w:szCs w:val="22"/>
    </w:rPr>
  </w:style>
  <w:style w:type="paragraph" w:styleId="BodyTextFirstIndent2">
    <w:name w:val="Body Text First Indent 2"/>
    <w:basedOn w:val="Normal"/>
    <w:link w:val="BodyTextFirstIndent2Char"/>
    <w:uiPriority w:val="99"/>
    <w:unhideWhenUsed/>
    <w:rsid w:val="00F12327"/>
    <w:pPr>
      <w:spacing w:after="120"/>
      <w:ind w:left="360" w:firstLine="360"/>
    </w:pPr>
  </w:style>
  <w:style w:type="character" w:customStyle="1" w:styleId="BodyTextFirstIndent2Char">
    <w:name w:val="Body Text First Indent 2 Char"/>
    <w:basedOn w:val="DefaultParagraphFont"/>
    <w:link w:val="BodyTextFirstIndent2"/>
    <w:uiPriority w:val="99"/>
    <w:rsid w:val="00F12327"/>
    <w:rPr>
      <w:rFonts w:asciiTheme="minorHAnsi" w:hAnsiTheme="minorHAnsi"/>
      <w:sz w:val="20"/>
    </w:rPr>
  </w:style>
  <w:style w:type="paragraph" w:customStyle="1" w:styleId="Heading5SubHeader">
    <w:name w:val="Heading 5 SubHeader"/>
    <w:basedOn w:val="BodyText"/>
    <w:next w:val="BodyText5"/>
    <w:qFormat/>
    <w:rsid w:val="006539BD"/>
    <w:pPr>
      <w:spacing w:before="180" w:after="0" w:line="360" w:lineRule="auto"/>
      <w:ind w:left="922"/>
    </w:pPr>
  </w:style>
  <w:style w:type="paragraph" w:customStyle="1" w:styleId="Heading4SubHeader">
    <w:name w:val="Heading 4 SubHeader"/>
    <w:basedOn w:val="BodyText"/>
    <w:next w:val="BodyText4"/>
    <w:qFormat/>
    <w:rsid w:val="006539BD"/>
    <w:pPr>
      <w:spacing w:before="180" w:after="0" w:line="360" w:lineRule="auto"/>
      <w:ind w:left="706"/>
    </w:pPr>
    <w:rPr>
      <w:b/>
    </w:rPr>
  </w:style>
  <w:style w:type="paragraph" w:customStyle="1" w:styleId="Heading6SubHeader">
    <w:name w:val="Heading 6 SubHeader"/>
    <w:basedOn w:val="BodyText"/>
    <w:next w:val="BodyText6"/>
    <w:qFormat/>
    <w:rsid w:val="006539BD"/>
    <w:pPr>
      <w:spacing w:before="180" w:after="0" w:line="360" w:lineRule="auto"/>
      <w:ind w:left="1224"/>
    </w:pPr>
  </w:style>
  <w:style w:type="table" w:styleId="MediumShading1-Accent1">
    <w:name w:val="Medium Shading 1 Accent 1"/>
    <w:basedOn w:val="TableNormal"/>
    <w:uiPriority w:val="63"/>
    <w:rsid w:val="00015CC8"/>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numbering" w:customStyle="1" w:styleId="CurrentList1">
    <w:name w:val="Current List1"/>
    <w:uiPriority w:val="99"/>
    <w:rsid w:val="007E17E2"/>
    <w:pPr>
      <w:numPr>
        <w:numId w:val="33"/>
      </w:numPr>
    </w:pPr>
  </w:style>
  <w:style w:type="numbering" w:customStyle="1" w:styleId="CurrentList2">
    <w:name w:val="Current List2"/>
    <w:uiPriority w:val="99"/>
    <w:rsid w:val="007E17E2"/>
    <w:pPr>
      <w:numPr>
        <w:numId w:val="35"/>
      </w:numPr>
    </w:pPr>
  </w:style>
  <w:style w:type="numbering" w:customStyle="1" w:styleId="CurrentList3">
    <w:name w:val="Current List3"/>
    <w:uiPriority w:val="99"/>
    <w:rsid w:val="007E17E2"/>
    <w:pPr>
      <w:numPr>
        <w:numId w:val="37"/>
      </w:numPr>
    </w:pPr>
  </w:style>
  <w:style w:type="numbering" w:customStyle="1" w:styleId="CurrentList4">
    <w:name w:val="Current List4"/>
    <w:uiPriority w:val="99"/>
    <w:rsid w:val="006539BD"/>
    <w:pPr>
      <w:numPr>
        <w:numId w:val="39"/>
      </w:numPr>
    </w:pPr>
  </w:style>
  <w:style w:type="paragraph" w:styleId="FootnoteText">
    <w:name w:val="footnote text"/>
    <w:basedOn w:val="Normal"/>
    <w:link w:val="FootnoteTextChar"/>
    <w:uiPriority w:val="99"/>
    <w:semiHidden/>
    <w:unhideWhenUsed/>
    <w:rsid w:val="000620C5"/>
    <w:pPr>
      <w:spacing w:line="240" w:lineRule="auto"/>
    </w:pPr>
    <w:rPr>
      <w:rFonts w:eastAsiaTheme="minorHAnsi"/>
      <w:szCs w:val="20"/>
    </w:rPr>
  </w:style>
  <w:style w:type="character" w:customStyle="1" w:styleId="FootnoteTextChar">
    <w:name w:val="Footnote Text Char"/>
    <w:basedOn w:val="DefaultParagraphFont"/>
    <w:link w:val="FootnoteText"/>
    <w:uiPriority w:val="99"/>
    <w:semiHidden/>
    <w:rsid w:val="000620C5"/>
    <w:rPr>
      <w:rFonts w:asciiTheme="minorHAnsi" w:eastAsiaTheme="minorHAnsi" w:hAnsiTheme="minorHAnsi"/>
      <w:sz w:val="20"/>
      <w:szCs w:val="20"/>
    </w:rPr>
  </w:style>
  <w:style w:type="character" w:styleId="FootnoteReference">
    <w:name w:val="footnote reference"/>
    <w:basedOn w:val="DefaultParagraphFont"/>
    <w:uiPriority w:val="99"/>
    <w:semiHidden/>
    <w:unhideWhenUsed/>
    <w:rsid w:val="000620C5"/>
    <w:rPr>
      <w:vertAlign w:val="superscript"/>
    </w:rPr>
  </w:style>
  <w:style w:type="table" w:customStyle="1" w:styleId="TableGrid0">
    <w:name w:val="TableGrid"/>
    <w:rsid w:val="00DA6A89"/>
    <w:rPr>
      <w:rFonts w:asciiTheme="minorHAnsi" w:hAnsiTheme="minorHAns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rsid w:val="00DA6A89"/>
    <w:rPr>
      <w:color w:val="605E5C"/>
      <w:shd w:val="clear" w:color="auto" w:fill="E1DFDD"/>
    </w:rPr>
  </w:style>
  <w:style w:type="paragraph" w:styleId="Revision">
    <w:name w:val="Revision"/>
    <w:hidden/>
    <w:uiPriority w:val="99"/>
    <w:semiHidden/>
    <w:rsid w:val="00B819BB"/>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5361">
      <w:bodyDiv w:val="1"/>
      <w:marLeft w:val="0"/>
      <w:marRight w:val="0"/>
      <w:marTop w:val="0"/>
      <w:marBottom w:val="0"/>
      <w:divBdr>
        <w:top w:val="none" w:sz="0" w:space="0" w:color="auto"/>
        <w:left w:val="none" w:sz="0" w:space="0" w:color="auto"/>
        <w:bottom w:val="none" w:sz="0" w:space="0" w:color="auto"/>
        <w:right w:val="none" w:sz="0" w:space="0" w:color="auto"/>
      </w:divBdr>
    </w:div>
    <w:div w:id="625624922">
      <w:bodyDiv w:val="1"/>
      <w:marLeft w:val="0"/>
      <w:marRight w:val="0"/>
      <w:marTop w:val="0"/>
      <w:marBottom w:val="0"/>
      <w:divBdr>
        <w:top w:val="none" w:sz="0" w:space="0" w:color="auto"/>
        <w:left w:val="none" w:sz="0" w:space="0" w:color="auto"/>
        <w:bottom w:val="none" w:sz="0" w:space="0" w:color="auto"/>
        <w:right w:val="none" w:sz="0" w:space="0" w:color="auto"/>
      </w:divBdr>
    </w:div>
    <w:div w:id="722171010">
      <w:bodyDiv w:val="1"/>
      <w:marLeft w:val="0"/>
      <w:marRight w:val="0"/>
      <w:marTop w:val="0"/>
      <w:marBottom w:val="0"/>
      <w:divBdr>
        <w:top w:val="none" w:sz="0" w:space="0" w:color="auto"/>
        <w:left w:val="none" w:sz="0" w:space="0" w:color="auto"/>
        <w:bottom w:val="none" w:sz="0" w:space="0" w:color="auto"/>
        <w:right w:val="none" w:sz="0" w:space="0" w:color="auto"/>
      </w:divBdr>
    </w:div>
    <w:div w:id="864369268">
      <w:bodyDiv w:val="1"/>
      <w:marLeft w:val="0"/>
      <w:marRight w:val="0"/>
      <w:marTop w:val="0"/>
      <w:marBottom w:val="0"/>
      <w:divBdr>
        <w:top w:val="none" w:sz="0" w:space="0" w:color="auto"/>
        <w:left w:val="none" w:sz="0" w:space="0" w:color="auto"/>
        <w:bottom w:val="none" w:sz="0" w:space="0" w:color="auto"/>
        <w:right w:val="none" w:sz="0" w:space="0" w:color="auto"/>
      </w:divBdr>
    </w:div>
    <w:div w:id="900824910">
      <w:bodyDiv w:val="1"/>
      <w:marLeft w:val="0"/>
      <w:marRight w:val="0"/>
      <w:marTop w:val="0"/>
      <w:marBottom w:val="0"/>
      <w:divBdr>
        <w:top w:val="none" w:sz="0" w:space="0" w:color="auto"/>
        <w:left w:val="none" w:sz="0" w:space="0" w:color="auto"/>
        <w:bottom w:val="none" w:sz="0" w:space="0" w:color="auto"/>
        <w:right w:val="none" w:sz="0" w:space="0" w:color="auto"/>
      </w:divBdr>
    </w:div>
    <w:div w:id="1050307870">
      <w:bodyDiv w:val="1"/>
      <w:marLeft w:val="0"/>
      <w:marRight w:val="0"/>
      <w:marTop w:val="0"/>
      <w:marBottom w:val="0"/>
      <w:divBdr>
        <w:top w:val="none" w:sz="0" w:space="0" w:color="auto"/>
        <w:left w:val="none" w:sz="0" w:space="0" w:color="auto"/>
        <w:bottom w:val="none" w:sz="0" w:space="0" w:color="auto"/>
        <w:right w:val="none" w:sz="0" w:space="0" w:color="auto"/>
      </w:divBdr>
    </w:div>
    <w:div w:id="1191801903">
      <w:bodyDiv w:val="1"/>
      <w:marLeft w:val="0"/>
      <w:marRight w:val="0"/>
      <w:marTop w:val="0"/>
      <w:marBottom w:val="0"/>
      <w:divBdr>
        <w:top w:val="none" w:sz="0" w:space="0" w:color="auto"/>
        <w:left w:val="none" w:sz="0" w:space="0" w:color="auto"/>
        <w:bottom w:val="none" w:sz="0" w:space="0" w:color="auto"/>
        <w:right w:val="none" w:sz="0" w:space="0" w:color="auto"/>
      </w:divBdr>
    </w:div>
    <w:div w:id="1266420324">
      <w:bodyDiv w:val="1"/>
      <w:marLeft w:val="0"/>
      <w:marRight w:val="0"/>
      <w:marTop w:val="0"/>
      <w:marBottom w:val="0"/>
      <w:divBdr>
        <w:top w:val="none" w:sz="0" w:space="0" w:color="auto"/>
        <w:left w:val="none" w:sz="0" w:space="0" w:color="auto"/>
        <w:bottom w:val="none" w:sz="0" w:space="0" w:color="auto"/>
        <w:right w:val="none" w:sz="0" w:space="0" w:color="auto"/>
      </w:divBdr>
    </w:div>
    <w:div w:id="1331103432">
      <w:bodyDiv w:val="1"/>
      <w:marLeft w:val="0"/>
      <w:marRight w:val="0"/>
      <w:marTop w:val="0"/>
      <w:marBottom w:val="0"/>
      <w:divBdr>
        <w:top w:val="none" w:sz="0" w:space="0" w:color="auto"/>
        <w:left w:val="none" w:sz="0" w:space="0" w:color="auto"/>
        <w:bottom w:val="none" w:sz="0" w:space="0" w:color="auto"/>
        <w:right w:val="none" w:sz="0" w:space="0" w:color="auto"/>
      </w:divBdr>
    </w:div>
    <w:div w:id="1378317284">
      <w:bodyDiv w:val="1"/>
      <w:marLeft w:val="0"/>
      <w:marRight w:val="0"/>
      <w:marTop w:val="0"/>
      <w:marBottom w:val="0"/>
      <w:divBdr>
        <w:top w:val="none" w:sz="0" w:space="0" w:color="auto"/>
        <w:left w:val="none" w:sz="0" w:space="0" w:color="auto"/>
        <w:bottom w:val="none" w:sz="0" w:space="0" w:color="auto"/>
        <w:right w:val="none" w:sz="0" w:space="0" w:color="auto"/>
      </w:divBdr>
    </w:div>
    <w:div w:id="1461920948">
      <w:bodyDiv w:val="1"/>
      <w:marLeft w:val="0"/>
      <w:marRight w:val="0"/>
      <w:marTop w:val="0"/>
      <w:marBottom w:val="0"/>
      <w:divBdr>
        <w:top w:val="none" w:sz="0" w:space="0" w:color="auto"/>
        <w:left w:val="none" w:sz="0" w:space="0" w:color="auto"/>
        <w:bottom w:val="none" w:sz="0" w:space="0" w:color="auto"/>
        <w:right w:val="none" w:sz="0" w:space="0" w:color="auto"/>
      </w:divBdr>
    </w:div>
    <w:div w:id="1536193532">
      <w:bodyDiv w:val="1"/>
      <w:marLeft w:val="0"/>
      <w:marRight w:val="0"/>
      <w:marTop w:val="0"/>
      <w:marBottom w:val="0"/>
      <w:divBdr>
        <w:top w:val="none" w:sz="0" w:space="0" w:color="auto"/>
        <w:left w:val="none" w:sz="0" w:space="0" w:color="auto"/>
        <w:bottom w:val="none" w:sz="0" w:space="0" w:color="auto"/>
        <w:right w:val="none" w:sz="0" w:space="0" w:color="auto"/>
      </w:divBdr>
    </w:div>
    <w:div w:id="1787894166">
      <w:bodyDiv w:val="1"/>
      <w:marLeft w:val="0"/>
      <w:marRight w:val="0"/>
      <w:marTop w:val="0"/>
      <w:marBottom w:val="0"/>
      <w:divBdr>
        <w:top w:val="none" w:sz="0" w:space="0" w:color="auto"/>
        <w:left w:val="none" w:sz="0" w:space="0" w:color="auto"/>
        <w:bottom w:val="none" w:sz="0" w:space="0" w:color="auto"/>
        <w:right w:val="none" w:sz="0" w:space="0" w:color="auto"/>
      </w:divBdr>
    </w:div>
    <w:div w:id="213741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europe-positionlimitoversight@ice.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17/chapter-I/part-150/section-150.3" TargetMode="External"/><Relationship Id="rId1" Type="http://schemas.openxmlformats.org/officeDocument/2006/relationships/hyperlink" Target="https://www.ecfr.gov/current/title-17/chapter-I/part-150/section-150.1" TargetMode="External"/></Relationships>
</file>

<file path=word/theme/theme1.xml><?xml version="1.0" encoding="utf-8"?>
<a:theme xmlns:a="http://schemas.openxmlformats.org/drawingml/2006/main" name="ICE_Theme">
  <a:themeElements>
    <a:clrScheme name="ICE_Core_Colors">
      <a:dk1>
        <a:sysClr val="windowText" lastClr="000000"/>
      </a:dk1>
      <a:lt1>
        <a:srgbClr val="FFFFFF"/>
      </a:lt1>
      <a:dk2>
        <a:srgbClr val="0F364A"/>
      </a:dk2>
      <a:lt2>
        <a:srgbClr val="FFFFFF"/>
      </a:lt2>
      <a:accent1>
        <a:srgbClr val="71C5E8"/>
      </a:accent1>
      <a:accent2>
        <a:srgbClr val="000000"/>
      </a:accent2>
      <a:accent3>
        <a:srgbClr val="E2E2E2"/>
      </a:accent3>
      <a:accent4>
        <a:srgbClr val="4D4D4D"/>
      </a:accent4>
      <a:accent5>
        <a:srgbClr val="7CEF4A"/>
      </a:accent5>
      <a:accent6>
        <a:srgbClr val="839AFF"/>
      </a:accent6>
      <a:hlink>
        <a:srgbClr val="235F73"/>
      </a:hlink>
      <a:folHlink>
        <a:srgbClr val="02EF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15 January 2016</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0676F4B55C644F923E04FD4B4BD4C4" ma:contentTypeVersion="18" ma:contentTypeDescription="Create a new document." ma:contentTypeScope="" ma:versionID="e60e9f340aa86a3625140077ec021145">
  <xsd:schema xmlns:xsd="http://www.w3.org/2001/XMLSchema" xmlns:xs="http://www.w3.org/2001/XMLSchema" xmlns:p="http://schemas.microsoft.com/office/2006/metadata/properties" xmlns:ns2="180fd9d3-fc77-4c7f-a08a-c09f3387556e" xmlns:ns3="1025791a-d79c-4e34-beff-e64a4f1071c8" targetNamespace="http://schemas.microsoft.com/office/2006/metadata/properties" ma:root="true" ma:fieldsID="146e27281fc6a05a6fd077b2abbffd9a" ns2:_="" ns3:_="">
    <xsd:import namespace="180fd9d3-fc77-4c7f-a08a-c09f3387556e"/>
    <xsd:import namespace="1025791a-d79c-4e34-beff-e64a4f1071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fd9d3-fc77-4c7f-a08a-c09f33875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6e06cf-4171-4383-98e9-1bec93b9cace}" ma:internalName="TaxCatchAll" ma:showField="CatchAllData" ma:web="180fd9d3-fc77-4c7f-a08a-c09f33875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25791a-d79c-4e34-beff-e64a4f1071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fbb6b1-6200-42ae-a2fe-3997facd95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80fd9d3-fc77-4c7f-a08a-c09f3387556e">C6T7R5VTYA6M-664088371-7241</_dlc_DocId>
    <_dlc_DocIdUrl xmlns="180fd9d3-fc77-4c7f-a08a-c09f3387556e">
      <Url>https://iceholdings.sharepoint.com/sites/msteams_73ee8c/_layouts/15/DocIdRedir.aspx?ID=C6T7R5VTYA6M-664088371-7241</Url>
      <Description>C6T7R5VTYA6M-664088371-7241</Description>
    </_dlc_DocIdUrl>
    <TaxCatchAll xmlns="180fd9d3-fc77-4c7f-a08a-c09f3387556e" xsi:nil="true"/>
    <lcf76f155ced4ddcb4097134ff3c332f xmlns="1025791a-d79c-4e34-beff-e64a4f1071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88EA4-E1CE-4220-8DC8-A860FC72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fd9d3-fc77-4c7f-a08a-c09f3387556e"/>
    <ds:schemaRef ds:uri="1025791a-d79c-4e34-beff-e64a4f1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AFC17-91DB-4EC1-9D5F-628ACC56F1EC}">
  <ds:schemaRefs>
    <ds:schemaRef ds:uri="http://schemas.microsoft.com/office/2006/metadata/properties"/>
    <ds:schemaRef ds:uri="http://schemas.microsoft.com/office/infopath/2007/PartnerControls"/>
    <ds:schemaRef ds:uri="180fd9d3-fc77-4c7f-a08a-c09f3387556e"/>
    <ds:schemaRef ds:uri="1025791a-d79c-4e34-beff-e64a4f1071c8"/>
  </ds:schemaRefs>
</ds:datastoreItem>
</file>

<file path=customXml/itemProps4.xml><?xml version="1.0" encoding="utf-8"?>
<ds:datastoreItem xmlns:ds="http://schemas.openxmlformats.org/officeDocument/2006/customXml" ds:itemID="{EFE558FC-1467-0E46-8674-E585415BCC8F}">
  <ds:schemaRefs>
    <ds:schemaRef ds:uri="http://schemas.openxmlformats.org/officeDocument/2006/bibliography"/>
  </ds:schemaRefs>
</ds:datastoreItem>
</file>

<file path=customXml/itemProps5.xml><?xml version="1.0" encoding="utf-8"?>
<ds:datastoreItem xmlns:ds="http://schemas.openxmlformats.org/officeDocument/2006/customXml" ds:itemID="{D46C6ACA-31B6-4BC7-B6D3-44ECC9CE6E05}">
  <ds:schemaRefs>
    <ds:schemaRef ds:uri="http://schemas.microsoft.com/sharepoint/events"/>
  </ds:schemaRefs>
</ds:datastoreItem>
</file>

<file path=customXml/itemProps6.xml><?xml version="1.0" encoding="utf-8"?>
<ds:datastoreItem xmlns:ds="http://schemas.openxmlformats.org/officeDocument/2006/customXml" ds:itemID="{AA98E4C0-C9EF-4DC8-B072-C2E020C1E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McDermott</cp:lastModifiedBy>
  <cp:revision>3</cp:revision>
  <cp:lastPrinted>2015-08-31T20:01:00Z</cp:lastPrinted>
  <dcterms:created xsi:type="dcterms:W3CDTF">2023-02-13T20:38:00Z</dcterms:created>
  <dcterms:modified xsi:type="dcterms:W3CDTF">2023-02-13T20:40:00Z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https://icespace.cpex.com</vt:lpwstr>
  </property>
  <property fmtid="{D5CDD505-2E9C-101B-9397-08002B2CF9AE}" pid="3" name="Offisync_ServerID">
    <vt:lpwstr>22d416c3-297d-4f82-9d38-0e9fb21e08c0</vt:lpwstr>
  </property>
  <property fmtid="{D5CDD505-2E9C-101B-9397-08002B2CF9AE}" pid="4" name="Jive_LatestUserAccountName">
    <vt:lpwstr>jwoolfor</vt:lpwstr>
  </property>
  <property fmtid="{D5CDD505-2E9C-101B-9397-08002B2CF9AE}" pid="5" name="Jive_VersionGuid">
    <vt:lpwstr>c5911166-bad5-4e6d-8f4c-9326545d593e</vt:lpwstr>
  </property>
  <property fmtid="{D5CDD505-2E9C-101B-9397-08002B2CF9AE}" pid="6" name="Offisync_UpdateToken">
    <vt:lpwstr>8</vt:lpwstr>
  </property>
  <property fmtid="{D5CDD505-2E9C-101B-9397-08002B2CF9AE}" pid="7" name="Offisync_UniqueId">
    <vt:lpwstr>59936</vt:lpwstr>
  </property>
  <property fmtid="{D5CDD505-2E9C-101B-9397-08002B2CF9AE}" pid="8" name="ContentTypeId">
    <vt:lpwstr>0x010100920676F4B55C644F923E04FD4B4BD4C4</vt:lpwstr>
  </property>
  <property fmtid="{D5CDD505-2E9C-101B-9397-08002B2CF9AE}" pid="9" name="_dlc_DocIdItemGuid">
    <vt:lpwstr>e5a70236-5244-4547-b031-46c5e13ce0ff</vt:lpwstr>
  </property>
  <property fmtid="{D5CDD505-2E9C-101B-9397-08002B2CF9AE}" pid="10" name="TaxKeyword">
    <vt:lpwstr/>
  </property>
</Properties>
</file>